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A5A4" w14:textId="3BA1E5EB" w:rsidR="005F51C8" w:rsidRPr="002B1FE6" w:rsidRDefault="00923D55" w:rsidP="00BB3EE2">
      <w:pPr>
        <w:pStyle w:val="BodyText"/>
        <w:rPr>
          <w:rFonts w:ascii="Calibri" w:hAnsi="Calibri" w:cs="Calibri"/>
          <w:color w:val="61207F"/>
          <w:sz w:val="26"/>
          <w:szCs w:val="26"/>
        </w:rPr>
      </w:pPr>
      <w:sdt>
        <w:sdtPr>
          <w:rPr>
            <w:rFonts w:ascii="Calibri" w:hAnsi="Calibri" w:cs="Calibri"/>
            <w:b/>
            <w:bCs/>
            <w:color w:val="61207F"/>
            <w:sz w:val="26"/>
            <w:szCs w:val="26"/>
          </w:rPr>
          <w:id w:val="1691493246"/>
          <w:placeholder>
            <w:docPart w:val="0725C8B876444DE88DDE01F5C8553F0A"/>
          </w:placeholder>
        </w:sdtPr>
        <w:sdtEndPr>
          <w:rPr>
            <w:b w:val="0"/>
            <w:bCs w:val="0"/>
          </w:rPr>
        </w:sdtEndPr>
        <w:sdtContent>
          <w:r w:rsidR="00943E23" w:rsidRPr="002B1FE6">
            <w:rPr>
              <w:rFonts w:ascii="Calibri" w:hAnsi="Calibri" w:cs="Calibri"/>
              <w:b/>
              <w:bCs/>
              <w:color w:val="61207F"/>
              <w:sz w:val="26"/>
              <w:szCs w:val="26"/>
            </w:rPr>
            <w:t>Northamptonshire Pension Fund – communication to members of the Prudential AVC arrangement</w:t>
          </w:r>
          <w:r w:rsidR="00943E23" w:rsidRPr="002B1FE6">
            <w:rPr>
              <w:rFonts w:ascii="Calibri" w:hAnsi="Calibri" w:cs="Calibri"/>
              <w:color w:val="61207F"/>
              <w:sz w:val="26"/>
              <w:szCs w:val="26"/>
            </w:rPr>
            <w:t xml:space="preserve"> </w:t>
          </w:r>
        </w:sdtContent>
      </w:sdt>
    </w:p>
    <w:p w14:paraId="2374A5A5" w14:textId="77777777" w:rsidR="005F51C8" w:rsidRPr="00473601" w:rsidRDefault="005F51C8" w:rsidP="00BB3EE2">
      <w:pPr>
        <w:pStyle w:val="BodyText"/>
        <w:spacing w:before="9"/>
        <w:rPr>
          <w:rFonts w:ascii="Calibri" w:hAnsi="Calibri" w:cs="Calibri"/>
          <w:sz w:val="20"/>
          <w:szCs w:val="20"/>
        </w:rPr>
      </w:pPr>
    </w:p>
    <w:p w14:paraId="2374A5A9" w14:textId="4D7455CC" w:rsidR="005F51C8" w:rsidRPr="00710A4D" w:rsidRDefault="009620CE" w:rsidP="00BB3EE2">
      <w:pPr>
        <w:pStyle w:val="Heading1"/>
        <w:ind w:left="0"/>
        <w:rPr>
          <w:rFonts w:ascii="Calibri" w:hAnsi="Calibri" w:cs="Calibri"/>
          <w:color w:val="244D7A"/>
          <w:sz w:val="22"/>
          <w:szCs w:val="22"/>
        </w:rPr>
      </w:pPr>
      <w:r w:rsidRPr="00710A4D">
        <w:rPr>
          <w:rFonts w:ascii="Calibri" w:hAnsi="Calibri" w:cs="Calibri"/>
          <w:color w:val="244D7A"/>
          <w:sz w:val="22"/>
          <w:szCs w:val="22"/>
        </w:rPr>
        <w:t>The</w:t>
      </w:r>
      <w:r w:rsidRPr="00710A4D">
        <w:rPr>
          <w:rFonts w:ascii="Calibri" w:hAnsi="Calibri" w:cs="Calibri"/>
          <w:color w:val="244D7A"/>
          <w:spacing w:val="-2"/>
          <w:sz w:val="22"/>
          <w:szCs w:val="22"/>
        </w:rPr>
        <w:t xml:space="preserve"> </w:t>
      </w:r>
      <w:r w:rsidR="00ED3856" w:rsidRPr="00710A4D">
        <w:rPr>
          <w:rFonts w:ascii="Calibri" w:hAnsi="Calibri" w:cs="Calibri"/>
          <w:color w:val="244D7A"/>
          <w:sz w:val="22"/>
          <w:szCs w:val="22"/>
        </w:rPr>
        <w:t>Northamptonshire Pension</w:t>
      </w:r>
      <w:r w:rsidR="009E1DCC" w:rsidRPr="00710A4D">
        <w:rPr>
          <w:rFonts w:ascii="Calibri" w:hAnsi="Calibri" w:cs="Calibri"/>
          <w:color w:val="244D7A"/>
          <w:sz w:val="22"/>
          <w:szCs w:val="22"/>
        </w:rPr>
        <w:t xml:space="preserve"> Fund</w:t>
      </w:r>
      <w:r w:rsidRPr="00710A4D">
        <w:rPr>
          <w:rFonts w:ascii="Calibri" w:hAnsi="Calibri" w:cs="Calibri"/>
          <w:color w:val="244D7A"/>
          <w:spacing w:val="-2"/>
          <w:sz w:val="22"/>
          <w:szCs w:val="22"/>
        </w:rPr>
        <w:t xml:space="preserve"> </w:t>
      </w:r>
      <w:r w:rsidRPr="00710A4D">
        <w:rPr>
          <w:rFonts w:ascii="Calibri" w:hAnsi="Calibri" w:cs="Calibri"/>
          <w:color w:val="244D7A"/>
          <w:sz w:val="22"/>
          <w:szCs w:val="22"/>
        </w:rPr>
        <w:t>(‘the</w:t>
      </w:r>
      <w:r w:rsidRPr="00710A4D">
        <w:rPr>
          <w:rFonts w:ascii="Calibri" w:hAnsi="Calibri" w:cs="Calibri"/>
          <w:color w:val="244D7A"/>
          <w:spacing w:val="-1"/>
          <w:sz w:val="22"/>
          <w:szCs w:val="22"/>
        </w:rPr>
        <w:t xml:space="preserve"> </w:t>
      </w:r>
      <w:r w:rsidR="00A73C5D" w:rsidRPr="00710A4D">
        <w:rPr>
          <w:rFonts w:ascii="Calibri" w:hAnsi="Calibri" w:cs="Calibri"/>
          <w:color w:val="244D7A"/>
          <w:sz w:val="22"/>
          <w:szCs w:val="22"/>
        </w:rPr>
        <w:t>Fund</w:t>
      </w:r>
      <w:r w:rsidRPr="00710A4D">
        <w:rPr>
          <w:rFonts w:ascii="Calibri" w:hAnsi="Calibri" w:cs="Calibri"/>
          <w:color w:val="244D7A"/>
          <w:sz w:val="22"/>
          <w:szCs w:val="22"/>
        </w:rPr>
        <w:t>’)</w:t>
      </w:r>
    </w:p>
    <w:p w14:paraId="2374A5AA" w14:textId="36DF7C7D" w:rsidR="005F51C8" w:rsidRPr="00710A4D" w:rsidRDefault="00943E23" w:rsidP="00BB3EE2">
      <w:pPr>
        <w:spacing w:before="92"/>
        <w:rPr>
          <w:rFonts w:ascii="Calibri" w:hAnsi="Calibri" w:cs="Calibri"/>
          <w:b/>
          <w:color w:val="244D7A"/>
        </w:rPr>
      </w:pPr>
      <w:r w:rsidRPr="00710A4D">
        <w:rPr>
          <w:rFonts w:ascii="Calibri" w:hAnsi="Calibri" w:cs="Calibri"/>
          <w:b/>
          <w:color w:val="244D7A"/>
        </w:rPr>
        <w:t>Your</w:t>
      </w:r>
      <w:r w:rsidR="009620CE" w:rsidRPr="00710A4D">
        <w:rPr>
          <w:rFonts w:ascii="Calibri" w:hAnsi="Calibri" w:cs="Calibri"/>
          <w:b/>
          <w:color w:val="244D7A"/>
        </w:rPr>
        <w:t xml:space="preserve"> Additional</w:t>
      </w:r>
      <w:r w:rsidR="009620CE" w:rsidRPr="00710A4D">
        <w:rPr>
          <w:rFonts w:ascii="Calibri" w:hAnsi="Calibri" w:cs="Calibri"/>
          <w:b/>
          <w:color w:val="244D7A"/>
          <w:spacing w:val="-1"/>
        </w:rPr>
        <w:t xml:space="preserve"> </w:t>
      </w:r>
      <w:r w:rsidR="009620CE" w:rsidRPr="00710A4D">
        <w:rPr>
          <w:rFonts w:ascii="Calibri" w:hAnsi="Calibri" w:cs="Calibri"/>
          <w:b/>
          <w:color w:val="244D7A"/>
        </w:rPr>
        <w:t>Voluntary</w:t>
      </w:r>
      <w:r w:rsidR="009620CE" w:rsidRPr="00710A4D">
        <w:rPr>
          <w:rFonts w:ascii="Calibri" w:hAnsi="Calibri" w:cs="Calibri"/>
          <w:b/>
          <w:color w:val="244D7A"/>
          <w:spacing w:val="-2"/>
        </w:rPr>
        <w:t xml:space="preserve"> </w:t>
      </w:r>
      <w:r w:rsidR="009620CE" w:rsidRPr="00710A4D">
        <w:rPr>
          <w:rFonts w:ascii="Calibri" w:hAnsi="Calibri" w:cs="Calibri"/>
          <w:b/>
          <w:color w:val="244D7A"/>
        </w:rPr>
        <w:t>Contributions</w:t>
      </w:r>
      <w:r w:rsidR="009620CE" w:rsidRPr="00710A4D">
        <w:rPr>
          <w:rFonts w:ascii="Calibri" w:hAnsi="Calibri" w:cs="Calibri"/>
          <w:b/>
          <w:color w:val="244D7A"/>
          <w:spacing w:val="-2"/>
        </w:rPr>
        <w:t xml:space="preserve"> </w:t>
      </w:r>
      <w:r w:rsidR="009620CE" w:rsidRPr="00710A4D">
        <w:rPr>
          <w:rFonts w:ascii="Calibri" w:hAnsi="Calibri" w:cs="Calibri"/>
          <w:b/>
          <w:color w:val="244D7A"/>
        </w:rPr>
        <w:t>(</w:t>
      </w:r>
      <w:r w:rsidRPr="00710A4D">
        <w:rPr>
          <w:rFonts w:ascii="Calibri" w:hAnsi="Calibri" w:cs="Calibri"/>
          <w:b/>
          <w:color w:val="244D7A"/>
        </w:rPr>
        <w:t>‘</w:t>
      </w:r>
      <w:r w:rsidR="009620CE" w:rsidRPr="00710A4D">
        <w:rPr>
          <w:rFonts w:ascii="Calibri" w:hAnsi="Calibri" w:cs="Calibri"/>
          <w:b/>
          <w:color w:val="244D7A"/>
        </w:rPr>
        <w:t>AVCs</w:t>
      </w:r>
      <w:r w:rsidRPr="00710A4D">
        <w:rPr>
          <w:rFonts w:ascii="Calibri" w:hAnsi="Calibri" w:cs="Calibri"/>
          <w:b/>
          <w:color w:val="244D7A"/>
        </w:rPr>
        <w:t>’</w:t>
      </w:r>
      <w:r w:rsidR="009620CE" w:rsidRPr="00710A4D">
        <w:rPr>
          <w:rFonts w:ascii="Calibri" w:hAnsi="Calibri" w:cs="Calibri"/>
          <w:b/>
          <w:color w:val="244D7A"/>
        </w:rPr>
        <w:t>)</w:t>
      </w:r>
      <w:r w:rsidR="00D30827" w:rsidRPr="00710A4D">
        <w:rPr>
          <w:rFonts w:ascii="Calibri" w:hAnsi="Calibri" w:cs="Calibri"/>
          <w:b/>
          <w:color w:val="244D7A"/>
        </w:rPr>
        <w:t xml:space="preserve"> </w:t>
      </w:r>
      <w:r w:rsidR="00EA2510" w:rsidRPr="00710A4D">
        <w:rPr>
          <w:rFonts w:ascii="Calibri" w:hAnsi="Calibri" w:cs="Calibri"/>
          <w:b/>
          <w:color w:val="244D7A"/>
        </w:rPr>
        <w:t xml:space="preserve">invested with </w:t>
      </w:r>
      <w:r w:rsidR="00A73C5D" w:rsidRPr="00710A4D">
        <w:rPr>
          <w:rFonts w:ascii="Calibri" w:hAnsi="Calibri" w:cs="Calibri"/>
          <w:b/>
          <w:color w:val="244D7A"/>
        </w:rPr>
        <w:t>Prudential</w:t>
      </w:r>
      <w:r w:rsidR="00C547F6" w:rsidRPr="00710A4D">
        <w:rPr>
          <w:rFonts w:ascii="Calibri" w:hAnsi="Calibri" w:cs="Calibri"/>
          <w:b/>
          <w:color w:val="244D7A"/>
        </w:rPr>
        <w:t xml:space="preserve"> </w:t>
      </w:r>
    </w:p>
    <w:p w14:paraId="2374A5AB" w14:textId="77777777" w:rsidR="005F51C8" w:rsidRPr="00473601" w:rsidRDefault="005F51C8" w:rsidP="00BB3EE2">
      <w:pPr>
        <w:pStyle w:val="BodyText"/>
        <w:spacing w:before="7"/>
        <w:rPr>
          <w:rFonts w:ascii="Calibri" w:hAnsi="Calibri" w:cs="Calibri"/>
          <w:b/>
          <w:sz w:val="20"/>
          <w:szCs w:val="20"/>
        </w:rPr>
      </w:pPr>
    </w:p>
    <w:p w14:paraId="1BCFDB5B" w14:textId="563C87F3" w:rsidR="00EA2510" w:rsidRPr="00473601" w:rsidRDefault="00923D55" w:rsidP="00EA2510">
      <w:pPr>
        <w:pStyle w:val="BodyText"/>
        <w:spacing w:after="120" w:line="264" w:lineRule="auto"/>
        <w:rPr>
          <w:rFonts w:ascii="Calibri" w:hAnsi="Calibri" w:cs="Calibri"/>
          <w:sz w:val="22"/>
          <w:szCs w:val="22"/>
        </w:rPr>
      </w:pPr>
      <w:r w:rsidRPr="00473601">
        <w:rPr>
          <w:rFonts w:ascii="Calibri" w:hAnsi="Calibri" w:cs="Calibri"/>
          <w:sz w:val="22"/>
          <w:szCs w:val="22"/>
        </w:rPr>
        <w:t>A number of our members</w:t>
      </w:r>
      <w:r w:rsidR="009620CE" w:rsidRPr="00473601">
        <w:rPr>
          <w:rFonts w:ascii="Calibri" w:hAnsi="Calibri" w:cs="Calibri"/>
          <w:sz w:val="22"/>
          <w:szCs w:val="22"/>
        </w:rPr>
        <w:t xml:space="preserve"> have chosen to pay </w:t>
      </w:r>
      <w:r w:rsidR="00EA2510" w:rsidRPr="00473601">
        <w:rPr>
          <w:rFonts w:ascii="Calibri" w:hAnsi="Calibri" w:cs="Calibri"/>
          <w:sz w:val="22"/>
          <w:szCs w:val="22"/>
        </w:rPr>
        <w:t>contributions</w:t>
      </w:r>
      <w:r w:rsidR="009620CE" w:rsidRPr="00473601">
        <w:rPr>
          <w:rFonts w:ascii="Calibri" w:hAnsi="Calibri" w:cs="Calibri"/>
          <w:sz w:val="22"/>
          <w:szCs w:val="22"/>
        </w:rPr>
        <w:t xml:space="preserve"> </w:t>
      </w:r>
      <w:r w:rsidR="00AB0143" w:rsidRPr="00473601">
        <w:rPr>
          <w:rFonts w:ascii="Calibri" w:hAnsi="Calibri" w:cs="Calibri"/>
          <w:sz w:val="22"/>
          <w:szCs w:val="22"/>
        </w:rPr>
        <w:t xml:space="preserve">into an AVC arrangement </w:t>
      </w:r>
      <w:r w:rsidR="009620CE" w:rsidRPr="00473601">
        <w:rPr>
          <w:rFonts w:ascii="Calibri" w:hAnsi="Calibri" w:cs="Calibri"/>
          <w:sz w:val="22"/>
          <w:szCs w:val="22"/>
        </w:rPr>
        <w:t xml:space="preserve">to increase their overall level of benefits from the </w:t>
      </w:r>
      <w:r w:rsidR="00EA2510" w:rsidRPr="00473601">
        <w:rPr>
          <w:rFonts w:ascii="Calibri" w:hAnsi="Calibri" w:cs="Calibri"/>
          <w:sz w:val="22"/>
          <w:szCs w:val="22"/>
        </w:rPr>
        <w:t>Fund</w:t>
      </w:r>
      <w:r w:rsidR="009620CE" w:rsidRPr="00473601">
        <w:rPr>
          <w:rFonts w:ascii="Calibri" w:hAnsi="Calibri" w:cs="Calibri"/>
          <w:sz w:val="22"/>
          <w:szCs w:val="22"/>
        </w:rPr>
        <w:t>.</w:t>
      </w:r>
      <w:r w:rsidR="00EA2510" w:rsidRPr="00473601">
        <w:rPr>
          <w:rFonts w:ascii="Calibri" w:hAnsi="Calibri" w:cs="Calibri"/>
          <w:sz w:val="22"/>
          <w:szCs w:val="22"/>
        </w:rPr>
        <w:t xml:space="preserve"> </w:t>
      </w:r>
      <w:r w:rsidR="009620CE" w:rsidRPr="00473601">
        <w:rPr>
          <w:rFonts w:ascii="Calibri" w:hAnsi="Calibri" w:cs="Calibri"/>
          <w:sz w:val="22"/>
          <w:szCs w:val="22"/>
        </w:rPr>
        <w:t xml:space="preserve"> </w:t>
      </w:r>
    </w:p>
    <w:p w14:paraId="2374A5AC" w14:textId="376675D2" w:rsidR="005F51C8" w:rsidRDefault="009620CE" w:rsidP="00575567">
      <w:pPr>
        <w:rPr>
          <w:rFonts w:asciiTheme="minorHAnsi" w:hAnsiTheme="minorHAnsi" w:cstheme="minorHAnsi"/>
        </w:rPr>
      </w:pPr>
      <w:r w:rsidRPr="00575567">
        <w:rPr>
          <w:rFonts w:asciiTheme="minorHAnsi" w:hAnsiTheme="minorHAnsi" w:cstheme="minorHAnsi"/>
        </w:rPr>
        <w:t xml:space="preserve">AVC benefits are calculated in a different way to the main </w:t>
      </w:r>
      <w:r w:rsidR="002502B5" w:rsidRPr="00575567">
        <w:rPr>
          <w:rFonts w:asciiTheme="minorHAnsi" w:hAnsiTheme="minorHAnsi" w:cstheme="minorHAnsi"/>
        </w:rPr>
        <w:t xml:space="preserve">benefits in the </w:t>
      </w:r>
      <w:r w:rsidR="005F730C" w:rsidRPr="00575567">
        <w:rPr>
          <w:rFonts w:asciiTheme="minorHAnsi" w:hAnsiTheme="minorHAnsi" w:cstheme="minorHAnsi"/>
        </w:rPr>
        <w:t>Fund</w:t>
      </w:r>
      <w:r w:rsidRPr="00575567">
        <w:rPr>
          <w:rFonts w:asciiTheme="minorHAnsi" w:hAnsiTheme="minorHAnsi" w:cstheme="minorHAnsi"/>
        </w:rPr>
        <w:t>, they are</w:t>
      </w:r>
      <w:r w:rsidRPr="00575567">
        <w:rPr>
          <w:rFonts w:asciiTheme="minorHAnsi" w:hAnsiTheme="minorHAnsi" w:cstheme="minorHAnsi"/>
          <w:spacing w:val="2"/>
        </w:rPr>
        <w:t xml:space="preserve"> </w:t>
      </w:r>
      <w:r w:rsidRPr="00575567">
        <w:rPr>
          <w:rFonts w:asciiTheme="minorHAnsi" w:hAnsiTheme="minorHAnsi" w:cstheme="minorHAnsi"/>
        </w:rPr>
        <w:t>‘defined</w:t>
      </w:r>
      <w:r w:rsidRPr="00575567">
        <w:rPr>
          <w:rFonts w:asciiTheme="minorHAnsi" w:hAnsiTheme="minorHAnsi" w:cstheme="minorHAnsi"/>
          <w:spacing w:val="1"/>
        </w:rPr>
        <w:t xml:space="preserve"> </w:t>
      </w:r>
      <w:r w:rsidRPr="00575567">
        <w:rPr>
          <w:rFonts w:asciiTheme="minorHAnsi" w:hAnsiTheme="minorHAnsi" w:cstheme="minorHAnsi"/>
        </w:rPr>
        <w:t>contribution’</w:t>
      </w:r>
      <w:r w:rsidRPr="00575567">
        <w:rPr>
          <w:rFonts w:asciiTheme="minorHAnsi" w:hAnsiTheme="minorHAnsi" w:cstheme="minorHAnsi"/>
          <w:spacing w:val="-1"/>
        </w:rPr>
        <w:t xml:space="preserve"> </w:t>
      </w:r>
      <w:r w:rsidR="00943E23" w:rsidRPr="00575567">
        <w:rPr>
          <w:rFonts w:asciiTheme="minorHAnsi" w:hAnsiTheme="minorHAnsi" w:cstheme="minorHAnsi"/>
          <w:spacing w:val="-1"/>
        </w:rPr>
        <w:t xml:space="preserve">benefits, </w:t>
      </w:r>
      <w:r w:rsidRPr="00575567">
        <w:rPr>
          <w:rFonts w:asciiTheme="minorHAnsi" w:hAnsiTheme="minorHAnsi" w:cstheme="minorHAnsi"/>
        </w:rPr>
        <w:t>which means the value of AVCs depends upon:</w:t>
      </w:r>
    </w:p>
    <w:p w14:paraId="70C2CCC2" w14:textId="77777777" w:rsidR="001F5D6D" w:rsidRPr="00575567" w:rsidRDefault="001F5D6D" w:rsidP="00575567">
      <w:pPr>
        <w:rPr>
          <w:rFonts w:asciiTheme="minorHAnsi" w:hAnsiTheme="minorHAnsi" w:cstheme="minorHAnsi"/>
        </w:rPr>
      </w:pPr>
    </w:p>
    <w:p w14:paraId="2374A5AD" w14:textId="3CE2C37D" w:rsidR="005F51C8" w:rsidRPr="00575567" w:rsidRDefault="009620CE" w:rsidP="00EA2510">
      <w:pPr>
        <w:pStyle w:val="ListParagraph"/>
        <w:numPr>
          <w:ilvl w:val="0"/>
          <w:numId w:val="2"/>
        </w:numPr>
        <w:tabs>
          <w:tab w:val="left" w:pos="938"/>
          <w:tab w:val="left" w:pos="939"/>
        </w:tabs>
        <w:spacing w:after="120" w:line="264" w:lineRule="auto"/>
        <w:ind w:left="543" w:right="3218"/>
        <w:rPr>
          <w:rFonts w:asciiTheme="minorHAnsi" w:hAnsiTheme="minorHAnsi" w:cstheme="minorHAnsi"/>
        </w:rPr>
      </w:pPr>
      <w:r w:rsidRPr="00575567">
        <w:rPr>
          <w:rFonts w:asciiTheme="minorHAnsi" w:hAnsiTheme="minorHAnsi" w:cstheme="minorHAnsi"/>
        </w:rPr>
        <w:t>the</w:t>
      </w:r>
      <w:r w:rsidRPr="00575567">
        <w:rPr>
          <w:rFonts w:asciiTheme="minorHAnsi" w:hAnsiTheme="minorHAnsi" w:cstheme="minorHAnsi"/>
          <w:spacing w:val="-1"/>
        </w:rPr>
        <w:t xml:space="preserve"> </w:t>
      </w:r>
      <w:r w:rsidRPr="00575567">
        <w:rPr>
          <w:rFonts w:asciiTheme="minorHAnsi" w:hAnsiTheme="minorHAnsi" w:cstheme="minorHAnsi"/>
        </w:rPr>
        <w:t>amount</w:t>
      </w:r>
      <w:r w:rsidRPr="00575567">
        <w:rPr>
          <w:rFonts w:asciiTheme="minorHAnsi" w:hAnsiTheme="minorHAnsi" w:cstheme="minorHAnsi"/>
          <w:spacing w:val="-1"/>
        </w:rPr>
        <w:t xml:space="preserve"> </w:t>
      </w:r>
      <w:r w:rsidRPr="00575567">
        <w:rPr>
          <w:rFonts w:asciiTheme="minorHAnsi" w:hAnsiTheme="minorHAnsi" w:cstheme="minorHAnsi"/>
        </w:rPr>
        <w:t>paid</w:t>
      </w:r>
      <w:r w:rsidRPr="00575567">
        <w:rPr>
          <w:rFonts w:asciiTheme="minorHAnsi" w:hAnsiTheme="minorHAnsi" w:cstheme="minorHAnsi"/>
          <w:spacing w:val="3"/>
        </w:rPr>
        <w:t xml:space="preserve"> </w:t>
      </w:r>
      <w:r w:rsidRPr="00575567">
        <w:rPr>
          <w:rFonts w:asciiTheme="minorHAnsi" w:hAnsiTheme="minorHAnsi" w:cstheme="minorHAnsi"/>
        </w:rPr>
        <w:t>into</w:t>
      </w:r>
      <w:r w:rsidRPr="00575567">
        <w:rPr>
          <w:rFonts w:asciiTheme="minorHAnsi" w:hAnsiTheme="minorHAnsi" w:cstheme="minorHAnsi"/>
          <w:spacing w:val="-1"/>
        </w:rPr>
        <w:t xml:space="preserve"> </w:t>
      </w:r>
      <w:r w:rsidRPr="00575567">
        <w:rPr>
          <w:rFonts w:asciiTheme="minorHAnsi" w:hAnsiTheme="minorHAnsi" w:cstheme="minorHAnsi"/>
        </w:rPr>
        <w:t>the</w:t>
      </w:r>
      <w:r w:rsidRPr="00575567">
        <w:rPr>
          <w:rFonts w:asciiTheme="minorHAnsi" w:hAnsiTheme="minorHAnsi" w:cstheme="minorHAnsi"/>
          <w:spacing w:val="-1"/>
        </w:rPr>
        <w:t xml:space="preserve"> </w:t>
      </w:r>
      <w:r w:rsidRPr="00575567">
        <w:rPr>
          <w:rFonts w:asciiTheme="minorHAnsi" w:hAnsiTheme="minorHAnsi" w:cstheme="minorHAnsi"/>
        </w:rPr>
        <w:t>AVC</w:t>
      </w:r>
      <w:r w:rsidRPr="00575567">
        <w:rPr>
          <w:rFonts w:asciiTheme="minorHAnsi" w:hAnsiTheme="minorHAnsi" w:cstheme="minorHAnsi"/>
          <w:spacing w:val="1"/>
        </w:rPr>
        <w:t xml:space="preserve"> </w:t>
      </w:r>
      <w:r w:rsidRPr="00575567">
        <w:rPr>
          <w:rFonts w:asciiTheme="minorHAnsi" w:hAnsiTheme="minorHAnsi" w:cstheme="minorHAnsi"/>
        </w:rPr>
        <w:t>arrangement;</w:t>
      </w:r>
      <w:r w:rsidRPr="00575567">
        <w:rPr>
          <w:rFonts w:asciiTheme="minorHAnsi" w:hAnsiTheme="minorHAnsi" w:cstheme="minorHAnsi"/>
          <w:spacing w:val="-1"/>
        </w:rPr>
        <w:t xml:space="preserve"> </w:t>
      </w:r>
      <w:r w:rsidRPr="00575567">
        <w:rPr>
          <w:rFonts w:asciiTheme="minorHAnsi" w:hAnsiTheme="minorHAnsi" w:cstheme="minorHAnsi"/>
        </w:rPr>
        <w:t>and</w:t>
      </w:r>
    </w:p>
    <w:p w14:paraId="236BD2D8" w14:textId="77777777" w:rsidR="000D29FF" w:rsidRPr="00575567" w:rsidRDefault="00172C98" w:rsidP="00EA2510">
      <w:pPr>
        <w:pStyle w:val="ListParagraph"/>
        <w:numPr>
          <w:ilvl w:val="0"/>
          <w:numId w:val="2"/>
        </w:numPr>
        <w:tabs>
          <w:tab w:val="left" w:pos="938"/>
          <w:tab w:val="left" w:pos="939"/>
        </w:tabs>
        <w:spacing w:after="120" w:line="264" w:lineRule="auto"/>
        <w:ind w:left="543" w:right="3218"/>
        <w:rPr>
          <w:rFonts w:asciiTheme="minorHAnsi" w:hAnsiTheme="minorHAnsi" w:cstheme="minorHAnsi"/>
        </w:rPr>
      </w:pPr>
      <w:r w:rsidRPr="00575567">
        <w:rPr>
          <w:rFonts w:asciiTheme="minorHAnsi" w:hAnsiTheme="minorHAnsi" w:cstheme="minorHAnsi"/>
        </w:rPr>
        <w:t xml:space="preserve">the investment returns on those AVCs after deduction of any charges. </w:t>
      </w:r>
    </w:p>
    <w:p w14:paraId="5635A1D6" w14:textId="51C8E39C" w:rsidR="00782393" w:rsidRDefault="009620CE" w:rsidP="00575567">
      <w:pPr>
        <w:rPr>
          <w:rFonts w:asciiTheme="minorHAnsi" w:hAnsiTheme="minorHAnsi" w:cstheme="minorHAnsi"/>
        </w:rPr>
      </w:pPr>
      <w:r w:rsidRPr="00575567">
        <w:rPr>
          <w:rFonts w:asciiTheme="minorHAnsi" w:hAnsiTheme="minorHAnsi" w:cstheme="minorHAnsi"/>
        </w:rPr>
        <w:t xml:space="preserve">The </w:t>
      </w:r>
      <w:r w:rsidR="0070389A" w:rsidRPr="00575567">
        <w:rPr>
          <w:rFonts w:asciiTheme="minorHAnsi" w:hAnsiTheme="minorHAnsi" w:cstheme="minorHAnsi"/>
        </w:rPr>
        <w:t>Administering Authority</w:t>
      </w:r>
      <w:r w:rsidRPr="00575567">
        <w:rPr>
          <w:rFonts w:asciiTheme="minorHAnsi" w:hAnsiTheme="minorHAnsi" w:cstheme="minorHAnsi"/>
        </w:rPr>
        <w:t xml:space="preserve"> of the </w:t>
      </w:r>
      <w:r w:rsidR="00C04298" w:rsidRPr="00575567">
        <w:rPr>
          <w:rFonts w:asciiTheme="minorHAnsi" w:hAnsiTheme="minorHAnsi" w:cstheme="minorHAnsi"/>
        </w:rPr>
        <w:t>Fund</w:t>
      </w:r>
      <w:r w:rsidRPr="00575567">
        <w:rPr>
          <w:rFonts w:asciiTheme="minorHAnsi" w:hAnsiTheme="minorHAnsi" w:cstheme="minorHAnsi"/>
        </w:rPr>
        <w:t xml:space="preserve"> regularly review</w:t>
      </w:r>
      <w:r w:rsidR="00EA2510" w:rsidRPr="00575567">
        <w:rPr>
          <w:rFonts w:asciiTheme="minorHAnsi" w:hAnsiTheme="minorHAnsi" w:cstheme="minorHAnsi"/>
        </w:rPr>
        <w:t>s</w:t>
      </w:r>
      <w:r w:rsidRPr="00575567">
        <w:rPr>
          <w:rFonts w:asciiTheme="minorHAnsi" w:hAnsiTheme="minorHAnsi" w:cstheme="minorHAnsi"/>
        </w:rPr>
        <w:t xml:space="preserve"> the </w:t>
      </w:r>
      <w:r w:rsidR="00C04298" w:rsidRPr="00575567">
        <w:rPr>
          <w:rFonts w:asciiTheme="minorHAnsi" w:hAnsiTheme="minorHAnsi" w:cstheme="minorHAnsi"/>
        </w:rPr>
        <w:t>Fund</w:t>
      </w:r>
      <w:r w:rsidRPr="00575567">
        <w:rPr>
          <w:rFonts w:asciiTheme="minorHAnsi" w:hAnsiTheme="minorHAnsi" w:cstheme="minorHAnsi"/>
        </w:rPr>
        <w:t xml:space="preserve">’s AVC arrangements to ensure they remain fit for purpose. </w:t>
      </w:r>
      <w:r w:rsidR="00782393" w:rsidRPr="00575567">
        <w:rPr>
          <w:rFonts w:asciiTheme="minorHAnsi" w:hAnsiTheme="minorHAnsi" w:cstheme="minorHAnsi"/>
        </w:rPr>
        <w:t xml:space="preserve">The </w:t>
      </w:r>
      <w:r w:rsidR="00542298" w:rsidRPr="00575567">
        <w:rPr>
          <w:rFonts w:asciiTheme="minorHAnsi" w:hAnsiTheme="minorHAnsi" w:cstheme="minorHAnsi"/>
        </w:rPr>
        <w:t xml:space="preserve">most recent review was carried out by the Administering Authority’s investment advisers </w:t>
      </w:r>
      <w:r w:rsidR="00923D55">
        <w:rPr>
          <w:rFonts w:asciiTheme="minorHAnsi" w:hAnsiTheme="minorHAnsi" w:cstheme="minorHAnsi"/>
        </w:rPr>
        <w:t>in</w:t>
      </w:r>
      <w:r w:rsidR="002502B5" w:rsidRPr="00575567">
        <w:rPr>
          <w:rFonts w:asciiTheme="minorHAnsi" w:hAnsiTheme="minorHAnsi" w:cstheme="minorHAnsi"/>
        </w:rPr>
        <w:t xml:space="preserve"> autumn</w:t>
      </w:r>
      <w:r w:rsidR="00923D55">
        <w:rPr>
          <w:rFonts w:asciiTheme="minorHAnsi" w:hAnsiTheme="minorHAnsi" w:cstheme="minorHAnsi"/>
        </w:rPr>
        <w:t xml:space="preserve"> 2023</w:t>
      </w:r>
      <w:r w:rsidR="00542298" w:rsidRPr="00575567">
        <w:rPr>
          <w:rFonts w:asciiTheme="minorHAnsi" w:hAnsiTheme="minorHAnsi" w:cstheme="minorHAnsi"/>
        </w:rPr>
        <w:t>.  Th</w:t>
      </w:r>
      <w:r w:rsidR="002502B5" w:rsidRPr="00575567">
        <w:rPr>
          <w:rFonts w:asciiTheme="minorHAnsi" w:hAnsiTheme="minorHAnsi" w:cstheme="minorHAnsi"/>
        </w:rPr>
        <w:t xml:space="preserve">e review </w:t>
      </w:r>
      <w:r w:rsidR="00C05A89" w:rsidRPr="00575567">
        <w:rPr>
          <w:rFonts w:asciiTheme="minorHAnsi" w:hAnsiTheme="minorHAnsi" w:cstheme="minorHAnsi"/>
        </w:rPr>
        <w:t xml:space="preserve">did not </w:t>
      </w:r>
      <w:r w:rsidR="002502B5" w:rsidRPr="00575567">
        <w:rPr>
          <w:rFonts w:asciiTheme="minorHAnsi" w:hAnsiTheme="minorHAnsi" w:cstheme="minorHAnsi"/>
        </w:rPr>
        <w:t>raise</w:t>
      </w:r>
      <w:r w:rsidR="00C05A89" w:rsidRPr="00575567">
        <w:rPr>
          <w:rFonts w:asciiTheme="minorHAnsi" w:hAnsiTheme="minorHAnsi" w:cstheme="minorHAnsi"/>
        </w:rPr>
        <w:t xml:space="preserve"> any concerns regarding the </w:t>
      </w:r>
      <w:r w:rsidR="00FC2336" w:rsidRPr="00575567">
        <w:rPr>
          <w:rFonts w:asciiTheme="minorHAnsi" w:hAnsiTheme="minorHAnsi" w:cstheme="minorHAnsi"/>
        </w:rPr>
        <w:t>suitability</w:t>
      </w:r>
      <w:r w:rsidR="00883ABB" w:rsidRPr="00575567">
        <w:rPr>
          <w:rFonts w:asciiTheme="minorHAnsi" w:hAnsiTheme="minorHAnsi" w:cstheme="minorHAnsi"/>
        </w:rPr>
        <w:t xml:space="preserve"> of the current AVC arrangement</w:t>
      </w:r>
      <w:r w:rsidR="00542298" w:rsidRPr="00575567">
        <w:rPr>
          <w:rFonts w:asciiTheme="minorHAnsi" w:hAnsiTheme="minorHAnsi" w:cstheme="minorHAnsi"/>
        </w:rPr>
        <w:t>s.  H</w:t>
      </w:r>
      <w:r w:rsidR="00883ABB" w:rsidRPr="00575567">
        <w:rPr>
          <w:rFonts w:asciiTheme="minorHAnsi" w:hAnsiTheme="minorHAnsi" w:cstheme="minorHAnsi"/>
        </w:rPr>
        <w:t>owever</w:t>
      </w:r>
      <w:r w:rsidR="00542298" w:rsidRPr="00575567">
        <w:rPr>
          <w:rFonts w:asciiTheme="minorHAnsi" w:hAnsiTheme="minorHAnsi" w:cstheme="minorHAnsi"/>
        </w:rPr>
        <w:t>,</w:t>
      </w:r>
      <w:r w:rsidR="00883ABB" w:rsidRPr="00575567">
        <w:rPr>
          <w:rFonts w:asciiTheme="minorHAnsi" w:hAnsiTheme="minorHAnsi" w:cstheme="minorHAnsi"/>
        </w:rPr>
        <w:t xml:space="preserve"> </w:t>
      </w:r>
      <w:r w:rsidR="00542298" w:rsidRPr="00575567">
        <w:rPr>
          <w:rFonts w:asciiTheme="minorHAnsi" w:hAnsiTheme="minorHAnsi" w:cstheme="minorHAnsi"/>
        </w:rPr>
        <w:t xml:space="preserve">our advisers did comment on the </w:t>
      </w:r>
      <w:r w:rsidR="00883ABB" w:rsidRPr="00575567">
        <w:rPr>
          <w:rFonts w:asciiTheme="minorHAnsi" w:hAnsiTheme="minorHAnsi" w:cstheme="minorHAnsi"/>
        </w:rPr>
        <w:t xml:space="preserve">performance of </w:t>
      </w:r>
      <w:r w:rsidR="00542298" w:rsidRPr="00575567">
        <w:rPr>
          <w:rFonts w:asciiTheme="minorHAnsi" w:hAnsiTheme="minorHAnsi" w:cstheme="minorHAnsi"/>
        </w:rPr>
        <w:t>some</w:t>
      </w:r>
      <w:r w:rsidR="002502B5" w:rsidRPr="00575567">
        <w:rPr>
          <w:rFonts w:asciiTheme="minorHAnsi" w:hAnsiTheme="minorHAnsi" w:cstheme="minorHAnsi"/>
        </w:rPr>
        <w:t xml:space="preserve"> of the</w:t>
      </w:r>
      <w:r w:rsidR="00542298" w:rsidRPr="00575567">
        <w:rPr>
          <w:rFonts w:asciiTheme="minorHAnsi" w:hAnsiTheme="minorHAnsi" w:cstheme="minorHAnsi"/>
        </w:rPr>
        <w:t xml:space="preserve"> funds members invest in. </w:t>
      </w:r>
    </w:p>
    <w:p w14:paraId="1DD2299B" w14:textId="2292D0EA" w:rsidR="001F5D6D" w:rsidRDefault="001F5D6D" w:rsidP="00575567">
      <w:pPr>
        <w:rPr>
          <w:rFonts w:asciiTheme="minorHAnsi" w:hAnsiTheme="minorHAnsi" w:cstheme="minorHAnsi"/>
        </w:rPr>
      </w:pPr>
    </w:p>
    <w:p w14:paraId="75655DEC" w14:textId="1D0E98FC" w:rsidR="001F5D6D" w:rsidRDefault="001F5D6D" w:rsidP="00575567">
      <w:pPr>
        <w:rPr>
          <w:rFonts w:asciiTheme="minorHAnsi" w:hAnsiTheme="minorHAnsi" w:cstheme="minorHAnsi"/>
        </w:rPr>
      </w:pPr>
      <w:r w:rsidRPr="00473AFF">
        <w:rPr>
          <w:rFonts w:asciiTheme="minorHAnsi" w:hAnsiTheme="minorHAnsi" w:cstheme="minorHAnsi"/>
        </w:rPr>
        <w:t>More details about your current AVC investments can be found in the latest annual benefit statement you received.  Alternatively, you can access information via the Prudential website, if you have registered for online access (see details at the end of this letter).</w:t>
      </w:r>
    </w:p>
    <w:p w14:paraId="3F27F94C" w14:textId="77777777" w:rsidR="00575567" w:rsidRPr="00575567" w:rsidRDefault="00575567" w:rsidP="00575567">
      <w:pPr>
        <w:rPr>
          <w:rFonts w:asciiTheme="minorHAnsi" w:hAnsiTheme="minorHAnsi" w:cstheme="minorHAnsi"/>
        </w:rPr>
      </w:pPr>
    </w:p>
    <w:p w14:paraId="68932980" w14:textId="2929B456" w:rsidR="00597DA8" w:rsidRDefault="009620CE" w:rsidP="002E2396">
      <w:pPr>
        <w:pStyle w:val="BodyText"/>
        <w:spacing w:after="120" w:line="264" w:lineRule="auto"/>
        <w:ind w:right="99"/>
        <w:rPr>
          <w:rFonts w:ascii="Calibri" w:hAnsi="Calibri" w:cs="Calibri"/>
          <w:sz w:val="22"/>
          <w:szCs w:val="22"/>
        </w:rPr>
      </w:pPr>
      <w:r w:rsidRPr="00473601">
        <w:rPr>
          <w:rFonts w:ascii="Calibri" w:hAnsi="Calibri" w:cs="Calibri"/>
          <w:sz w:val="22"/>
          <w:szCs w:val="22"/>
        </w:rPr>
        <w:t xml:space="preserve">The purpose of this letter is </w:t>
      </w:r>
      <w:r w:rsidR="002E2396" w:rsidRPr="00473601">
        <w:rPr>
          <w:rFonts w:ascii="Calibri" w:hAnsi="Calibri" w:cs="Calibri"/>
          <w:sz w:val="22"/>
          <w:szCs w:val="22"/>
        </w:rPr>
        <w:t>to tell you about the</w:t>
      </w:r>
      <w:r w:rsidR="005A4EC4" w:rsidRPr="00473601">
        <w:rPr>
          <w:rFonts w:ascii="Calibri" w:hAnsi="Calibri" w:cs="Calibri"/>
          <w:sz w:val="22"/>
          <w:szCs w:val="22"/>
        </w:rPr>
        <w:t xml:space="preserve"> </w:t>
      </w:r>
      <w:r w:rsidR="002E2396" w:rsidRPr="00473601">
        <w:rPr>
          <w:rFonts w:ascii="Calibri" w:hAnsi="Calibri" w:cs="Calibri"/>
          <w:sz w:val="22"/>
          <w:szCs w:val="22"/>
        </w:rPr>
        <w:t>observations</w:t>
      </w:r>
      <w:r w:rsidR="005A4EC4" w:rsidRPr="00473601">
        <w:rPr>
          <w:rFonts w:ascii="Calibri" w:hAnsi="Calibri" w:cs="Calibri"/>
          <w:sz w:val="22"/>
          <w:szCs w:val="22"/>
        </w:rPr>
        <w:t xml:space="preserve"> made by the Administering Authority’s advisers in relation to investment performance, so that you can consider if you</w:t>
      </w:r>
      <w:r w:rsidR="002E2396" w:rsidRPr="00473601">
        <w:rPr>
          <w:rFonts w:ascii="Calibri" w:hAnsi="Calibri" w:cs="Calibri"/>
          <w:sz w:val="22"/>
          <w:szCs w:val="22"/>
        </w:rPr>
        <w:t>r current investments are still right for you</w:t>
      </w:r>
      <w:r w:rsidRPr="00473601">
        <w:rPr>
          <w:rFonts w:ascii="Calibri" w:hAnsi="Calibri" w:cs="Calibri"/>
          <w:sz w:val="22"/>
          <w:szCs w:val="22"/>
        </w:rPr>
        <w:t>.</w:t>
      </w:r>
    </w:p>
    <w:p w14:paraId="447A19B3" w14:textId="77777777" w:rsidR="00575567" w:rsidRPr="00597DA8" w:rsidRDefault="00575567" w:rsidP="00575567">
      <w:pPr>
        <w:pStyle w:val="2ColumnBody"/>
        <w:rPr>
          <w:rFonts w:ascii="Calibri" w:hAnsi="Calibri" w:cs="Calibri"/>
          <w:sz w:val="22"/>
          <w:szCs w:val="22"/>
        </w:rPr>
      </w:pPr>
      <w:r w:rsidRPr="00710A4D">
        <w:rPr>
          <w:rFonts w:ascii="Calibri" w:hAnsi="Calibri" w:cs="Calibri"/>
          <w:b/>
          <w:bCs/>
          <w:color w:val="244D7A"/>
          <w:sz w:val="22"/>
          <w:szCs w:val="22"/>
        </w:rPr>
        <w:t xml:space="preserve">Important </w:t>
      </w:r>
      <w:r w:rsidRPr="00597DA8">
        <w:rPr>
          <w:rFonts w:ascii="Calibri" w:hAnsi="Calibri" w:cs="Calibri"/>
          <w:sz w:val="22"/>
          <w:szCs w:val="22"/>
        </w:rPr>
        <w:t>-</w:t>
      </w:r>
      <w:r w:rsidRPr="00597DA8">
        <w:rPr>
          <w:rFonts w:ascii="Calibri" w:hAnsi="Calibri" w:cs="Calibri"/>
          <w:b/>
          <w:bCs/>
          <w:sz w:val="22"/>
          <w:szCs w:val="22"/>
        </w:rPr>
        <w:t xml:space="preserve"> </w:t>
      </w:r>
      <w:r w:rsidRPr="00597DA8">
        <w:rPr>
          <w:rFonts w:ascii="Calibri" w:hAnsi="Calibri" w:cs="Calibri"/>
          <w:sz w:val="22"/>
          <w:szCs w:val="22"/>
        </w:rPr>
        <w:t>Neither the Administering Authority nor anyone else connected to the Fund can provide financial advice or guidance to members and none of the information in this letter constitutes financial advice or guidance.</w:t>
      </w:r>
    </w:p>
    <w:p w14:paraId="1B38CA56" w14:textId="77777777" w:rsidR="00575567" w:rsidRPr="00597DA8" w:rsidRDefault="00575567" w:rsidP="00575567">
      <w:pPr>
        <w:pStyle w:val="2ColumnBody"/>
        <w:rPr>
          <w:rFonts w:ascii="Calibri" w:hAnsi="Calibri" w:cs="Calibri"/>
          <w:sz w:val="22"/>
          <w:szCs w:val="22"/>
        </w:rPr>
      </w:pPr>
      <w:bookmarkStart w:id="0" w:name="_Hlk153961059"/>
      <w:r w:rsidRPr="00597DA8">
        <w:rPr>
          <w:rFonts w:ascii="Calibri" w:hAnsi="Calibri" w:cs="Calibri"/>
          <w:sz w:val="22"/>
          <w:szCs w:val="22"/>
        </w:rPr>
        <w:t>If you are unsure about any aspect of your pension planning, you should obtain independent financial advice. T</w:t>
      </w:r>
      <w:r w:rsidRPr="00597DA8">
        <w:rPr>
          <w:rFonts w:ascii="Calibri" w:hAnsi="Calibri" w:cs="Calibri"/>
          <w:sz w:val="22"/>
          <w:szCs w:val="22"/>
          <w:lang w:val="en-US"/>
        </w:rPr>
        <w:t xml:space="preserve">he Moneyhelper website provides information in relation to </w:t>
      </w:r>
      <w:r w:rsidRPr="00597DA8">
        <w:rPr>
          <w:rStyle w:val="grey"/>
          <w:rFonts w:ascii="Calibri" w:hAnsi="Calibri" w:cs="Calibri"/>
          <w:sz w:val="22"/>
          <w:szCs w:val="22"/>
          <w:lang w:val="en"/>
        </w:rPr>
        <w:t>finding a financial adviser at:</w:t>
      </w:r>
      <w:hyperlink w:history="1"/>
      <w:r w:rsidRPr="00597DA8">
        <w:rPr>
          <w:rStyle w:val="Hyperlink"/>
          <w:rFonts w:ascii="Calibri" w:hAnsi="Calibri" w:cs="Calibri"/>
          <w:sz w:val="22"/>
          <w:szCs w:val="22"/>
        </w:rPr>
        <w:t xml:space="preserve"> </w:t>
      </w:r>
      <w:hyperlink r:id="rId11" w:history="1">
        <w:r w:rsidRPr="00597DA8">
          <w:rPr>
            <w:rFonts w:ascii="Calibri" w:eastAsia="Arial" w:hAnsi="Calibri" w:cs="Calibri"/>
            <w:color w:val="0000FF"/>
            <w:sz w:val="22"/>
            <w:szCs w:val="22"/>
            <w:u w:val="single"/>
          </w:rPr>
          <w:t>Choosing a financial adviser | MoneyHelper</w:t>
        </w:r>
      </w:hyperlink>
      <w:bookmarkEnd w:id="0"/>
    </w:p>
    <w:p w14:paraId="6CB704B4" w14:textId="284D2B24" w:rsidR="00575567" w:rsidRPr="00597DA8" w:rsidRDefault="00575567" w:rsidP="00575567">
      <w:pPr>
        <w:rPr>
          <w:rFonts w:ascii="Calibri" w:hAnsi="Calibri" w:cs="Calibri"/>
        </w:rPr>
      </w:pPr>
      <w:r w:rsidRPr="00597DA8">
        <w:rPr>
          <w:rFonts w:ascii="Calibri" w:hAnsi="Calibri" w:cs="Calibri"/>
        </w:rPr>
        <w:t xml:space="preserve">Before you appoint anyone, you should check that the adviser is suitably qualified and authorised. You can do this online at </w:t>
      </w:r>
      <w:hyperlink r:id="rId12" w:history="1">
        <w:r w:rsidRPr="00597DA8">
          <w:rPr>
            <w:rFonts w:ascii="Calibri" w:hAnsi="Calibri" w:cs="Calibri"/>
            <w:color w:val="0000FF"/>
            <w:u w:val="single"/>
          </w:rPr>
          <w:t>Financial Services Register | FCA</w:t>
        </w:r>
      </w:hyperlink>
      <w:r w:rsidRPr="00597DA8">
        <w:rPr>
          <w:rFonts w:ascii="Calibri" w:hAnsi="Calibri" w:cs="Calibri"/>
          <w:color w:val="0070C0"/>
        </w:rPr>
        <w:t xml:space="preserve"> </w:t>
      </w:r>
      <w:r w:rsidRPr="00597DA8">
        <w:rPr>
          <w:rFonts w:ascii="Calibri" w:hAnsi="Calibri" w:cs="Calibri"/>
        </w:rPr>
        <w:t>or by phoning the Financial Conduct Authority helpline on 0800 111 6768</w:t>
      </w:r>
    </w:p>
    <w:p w14:paraId="79AB199B" w14:textId="14EAF4E0" w:rsidR="001A76EB" w:rsidRPr="00710A4D" w:rsidRDefault="000679C6" w:rsidP="002502B5">
      <w:pPr>
        <w:pStyle w:val="Heading1"/>
        <w:tabs>
          <w:tab w:val="left" w:pos="350"/>
        </w:tabs>
        <w:spacing w:before="360" w:after="120"/>
        <w:ind w:left="0"/>
        <w:rPr>
          <w:rFonts w:ascii="Calibri" w:hAnsi="Calibri" w:cs="Calibri"/>
          <w:color w:val="244D7A"/>
          <w:sz w:val="22"/>
          <w:szCs w:val="22"/>
        </w:rPr>
      </w:pPr>
      <w:r w:rsidRPr="00710A4D">
        <w:rPr>
          <w:rFonts w:ascii="Calibri" w:hAnsi="Calibri" w:cs="Calibri"/>
          <w:color w:val="244D7A"/>
          <w:sz w:val="22"/>
          <w:szCs w:val="22"/>
        </w:rPr>
        <w:t>Returns on cash have not kept pace with inflation</w:t>
      </w:r>
      <w:r w:rsidR="001A76EB" w:rsidRPr="00710A4D">
        <w:rPr>
          <w:rFonts w:ascii="Calibri" w:hAnsi="Calibri" w:cs="Calibri"/>
          <w:color w:val="244D7A"/>
          <w:sz w:val="22"/>
          <w:szCs w:val="22"/>
        </w:rPr>
        <w:t xml:space="preserve"> </w:t>
      </w:r>
    </w:p>
    <w:p w14:paraId="4904D253" w14:textId="5493ECB3" w:rsidR="000679C6" w:rsidRPr="00575567" w:rsidRDefault="001A76EB" w:rsidP="00943E23">
      <w:pPr>
        <w:pStyle w:val="Heading1"/>
        <w:tabs>
          <w:tab w:val="left" w:pos="350"/>
        </w:tabs>
        <w:spacing w:after="120"/>
        <w:ind w:left="0"/>
        <w:rPr>
          <w:rFonts w:ascii="Calibri" w:hAnsi="Calibri" w:cs="Calibri"/>
          <w:i/>
          <w:iCs/>
          <w:color w:val="244D7A"/>
          <w:sz w:val="22"/>
          <w:szCs w:val="22"/>
        </w:rPr>
      </w:pPr>
      <w:r w:rsidRPr="00575567">
        <w:rPr>
          <w:rFonts w:ascii="Calibri" w:hAnsi="Calibri" w:cs="Calibri"/>
          <w:i/>
          <w:iCs/>
          <w:color w:val="244D7A"/>
          <w:sz w:val="22"/>
          <w:szCs w:val="22"/>
        </w:rPr>
        <w:t>Relevant if your AVCs are invested in the Prudential Cash Fund or the Prudential Deposit Fund</w:t>
      </w:r>
    </w:p>
    <w:p w14:paraId="29E3A973" w14:textId="3A29DC36" w:rsidR="000679C6" w:rsidRPr="00597DA8" w:rsidRDefault="000679C6" w:rsidP="00943E23">
      <w:pPr>
        <w:pStyle w:val="BodyText"/>
        <w:spacing w:after="120"/>
        <w:rPr>
          <w:rFonts w:ascii="Calibri" w:hAnsi="Calibri" w:cs="Calibri"/>
          <w:sz w:val="22"/>
          <w:szCs w:val="22"/>
        </w:rPr>
      </w:pPr>
      <w:r w:rsidRPr="00597DA8">
        <w:rPr>
          <w:rFonts w:ascii="Calibri" w:hAnsi="Calibri" w:cs="Calibri"/>
          <w:sz w:val="22"/>
          <w:szCs w:val="22"/>
        </w:rPr>
        <w:t xml:space="preserve">The Prudential Cash </w:t>
      </w:r>
      <w:r w:rsidR="00943E23" w:rsidRPr="00597DA8">
        <w:rPr>
          <w:rFonts w:ascii="Calibri" w:hAnsi="Calibri" w:cs="Calibri"/>
          <w:sz w:val="22"/>
          <w:szCs w:val="22"/>
        </w:rPr>
        <w:t xml:space="preserve">Fund and the Prudential </w:t>
      </w:r>
      <w:r w:rsidRPr="00597DA8">
        <w:rPr>
          <w:rFonts w:ascii="Calibri" w:hAnsi="Calibri" w:cs="Calibri"/>
          <w:sz w:val="22"/>
          <w:szCs w:val="22"/>
        </w:rPr>
        <w:t xml:space="preserve">Deposit Fund aim to provide a return in line with interest rates.  </w:t>
      </w:r>
      <w:r w:rsidR="00943E23" w:rsidRPr="00597DA8">
        <w:rPr>
          <w:rFonts w:ascii="Calibri" w:hAnsi="Calibri" w:cs="Calibri"/>
          <w:sz w:val="22"/>
          <w:szCs w:val="22"/>
        </w:rPr>
        <w:t xml:space="preserve">For AVCs invested in the Deposit Fund, </w:t>
      </w:r>
      <w:r w:rsidRPr="00597DA8">
        <w:rPr>
          <w:rFonts w:ascii="Calibri" w:hAnsi="Calibri" w:cs="Calibri"/>
          <w:sz w:val="22"/>
          <w:szCs w:val="22"/>
        </w:rPr>
        <w:t xml:space="preserve">once interest is </w:t>
      </w:r>
      <w:r w:rsidR="00943E23" w:rsidRPr="00597DA8">
        <w:rPr>
          <w:rFonts w:ascii="Calibri" w:hAnsi="Calibri" w:cs="Calibri"/>
          <w:sz w:val="22"/>
          <w:szCs w:val="22"/>
        </w:rPr>
        <w:t>added</w:t>
      </w:r>
      <w:r w:rsidRPr="00597DA8">
        <w:rPr>
          <w:rFonts w:ascii="Calibri" w:hAnsi="Calibri" w:cs="Calibri"/>
          <w:sz w:val="22"/>
          <w:szCs w:val="22"/>
        </w:rPr>
        <w:t xml:space="preserve">, it cannot be removed if funds remain invested until the policy maturity date (so the </w:t>
      </w:r>
      <w:r w:rsidR="00943E23" w:rsidRPr="00597DA8">
        <w:rPr>
          <w:rFonts w:ascii="Calibri" w:hAnsi="Calibri" w:cs="Calibri"/>
          <w:sz w:val="22"/>
          <w:szCs w:val="22"/>
        </w:rPr>
        <w:t xml:space="preserve">amount held in the </w:t>
      </w:r>
      <w:r w:rsidRPr="00597DA8">
        <w:rPr>
          <w:rFonts w:ascii="Calibri" w:hAnsi="Calibri" w:cs="Calibri"/>
          <w:sz w:val="22"/>
          <w:szCs w:val="22"/>
        </w:rPr>
        <w:t xml:space="preserve">Deposit Fund cannot go down).  </w:t>
      </w:r>
    </w:p>
    <w:p w14:paraId="24998CD8" w14:textId="540FCBCB" w:rsidR="000679C6" w:rsidRDefault="000679C6" w:rsidP="00943E23">
      <w:pPr>
        <w:pStyle w:val="BodyText"/>
        <w:spacing w:after="120"/>
        <w:rPr>
          <w:rFonts w:ascii="Calibri" w:hAnsi="Calibri" w:cs="Calibri"/>
          <w:sz w:val="22"/>
          <w:szCs w:val="22"/>
        </w:rPr>
      </w:pPr>
      <w:r w:rsidRPr="00597DA8">
        <w:rPr>
          <w:rFonts w:ascii="Calibri" w:hAnsi="Calibri" w:cs="Calibri"/>
          <w:sz w:val="22"/>
          <w:szCs w:val="22"/>
        </w:rPr>
        <w:t xml:space="preserve">The high rates of inflation we have experienced over the </w:t>
      </w:r>
      <w:r w:rsidR="0055493F" w:rsidRPr="00597DA8">
        <w:rPr>
          <w:rFonts w:ascii="Calibri" w:hAnsi="Calibri" w:cs="Calibri"/>
          <w:sz w:val="22"/>
          <w:szCs w:val="22"/>
        </w:rPr>
        <w:t xml:space="preserve">past year or so mean that </w:t>
      </w:r>
      <w:r w:rsidRPr="00597DA8">
        <w:rPr>
          <w:rFonts w:ascii="Calibri" w:hAnsi="Calibri" w:cs="Calibri"/>
          <w:sz w:val="22"/>
          <w:szCs w:val="22"/>
        </w:rPr>
        <w:t xml:space="preserve">there </w:t>
      </w:r>
      <w:r w:rsidR="00943E23" w:rsidRPr="00597DA8">
        <w:rPr>
          <w:rFonts w:ascii="Calibri" w:hAnsi="Calibri" w:cs="Calibri"/>
          <w:sz w:val="22"/>
          <w:szCs w:val="22"/>
        </w:rPr>
        <w:t>has been a</w:t>
      </w:r>
      <w:r w:rsidRPr="00597DA8">
        <w:rPr>
          <w:rFonts w:ascii="Calibri" w:hAnsi="Calibri" w:cs="Calibri"/>
          <w:sz w:val="22"/>
          <w:szCs w:val="22"/>
        </w:rPr>
        <w:t xml:space="preserve"> significant difference between the returns on the Prudential Cash and Deposit </w:t>
      </w:r>
      <w:r w:rsidR="00943E23" w:rsidRPr="00597DA8">
        <w:rPr>
          <w:rFonts w:ascii="Calibri" w:hAnsi="Calibri" w:cs="Calibri"/>
          <w:sz w:val="22"/>
          <w:szCs w:val="22"/>
        </w:rPr>
        <w:t>F</w:t>
      </w:r>
      <w:r w:rsidRPr="00597DA8">
        <w:rPr>
          <w:rFonts w:ascii="Calibri" w:hAnsi="Calibri" w:cs="Calibri"/>
          <w:sz w:val="22"/>
          <w:szCs w:val="22"/>
        </w:rPr>
        <w:t>unds</w:t>
      </w:r>
      <w:r w:rsidR="0055493F" w:rsidRPr="00597DA8">
        <w:rPr>
          <w:rFonts w:ascii="Calibri" w:hAnsi="Calibri" w:cs="Calibri"/>
          <w:sz w:val="22"/>
          <w:szCs w:val="22"/>
        </w:rPr>
        <w:t xml:space="preserve"> and the pace at which prices are rising.</w:t>
      </w:r>
      <w:r w:rsidR="00943E23" w:rsidRPr="00597DA8">
        <w:rPr>
          <w:rFonts w:ascii="Calibri" w:hAnsi="Calibri" w:cs="Calibri"/>
          <w:sz w:val="22"/>
          <w:szCs w:val="22"/>
        </w:rPr>
        <w:t xml:space="preserve">  This means the ‘buying power’ of AVCs invested in these funds is falling.</w:t>
      </w:r>
      <w:r w:rsidRPr="00597DA8">
        <w:rPr>
          <w:rFonts w:ascii="Calibri" w:hAnsi="Calibri" w:cs="Calibri"/>
          <w:sz w:val="22"/>
          <w:szCs w:val="22"/>
        </w:rPr>
        <w:t xml:space="preserve"> </w:t>
      </w:r>
    </w:p>
    <w:p w14:paraId="7D0A1930" w14:textId="77777777" w:rsidR="001F5D6D" w:rsidRPr="00597DA8" w:rsidRDefault="001F5D6D" w:rsidP="00943E23">
      <w:pPr>
        <w:pStyle w:val="BodyText"/>
        <w:spacing w:after="120"/>
        <w:rPr>
          <w:rFonts w:ascii="Calibri" w:hAnsi="Calibri" w:cs="Calibri"/>
          <w:sz w:val="22"/>
          <w:szCs w:val="22"/>
        </w:rPr>
      </w:pPr>
    </w:p>
    <w:p w14:paraId="5D17E44F" w14:textId="7BD3F827" w:rsidR="0055493F" w:rsidRPr="00597DA8" w:rsidRDefault="0055493F" w:rsidP="00943E23">
      <w:pPr>
        <w:pStyle w:val="BodyText"/>
        <w:spacing w:after="120"/>
        <w:rPr>
          <w:rFonts w:ascii="Calibri" w:hAnsi="Calibri" w:cs="Calibri"/>
          <w:sz w:val="22"/>
          <w:szCs w:val="22"/>
        </w:rPr>
      </w:pPr>
      <w:r w:rsidRPr="00597DA8">
        <w:rPr>
          <w:rFonts w:ascii="Calibri" w:hAnsi="Calibri" w:cs="Calibri"/>
          <w:sz w:val="22"/>
          <w:szCs w:val="22"/>
        </w:rPr>
        <w:t xml:space="preserve">If you invest in </w:t>
      </w:r>
      <w:r w:rsidR="00943E23" w:rsidRPr="00597DA8">
        <w:rPr>
          <w:rFonts w:ascii="Calibri" w:hAnsi="Calibri" w:cs="Calibri"/>
          <w:sz w:val="22"/>
          <w:szCs w:val="22"/>
        </w:rPr>
        <w:t>the Prudential Cash Fund or the Prudential Deposit Fund</w:t>
      </w:r>
      <w:r w:rsidRPr="00597DA8">
        <w:rPr>
          <w:rFonts w:ascii="Calibri" w:hAnsi="Calibri" w:cs="Calibri"/>
          <w:sz w:val="22"/>
          <w:szCs w:val="22"/>
        </w:rPr>
        <w:t xml:space="preserve">, your AVCs are exposed to very little investment risk.  </w:t>
      </w:r>
      <w:r w:rsidR="000679C6" w:rsidRPr="00597DA8">
        <w:rPr>
          <w:rFonts w:ascii="Calibri" w:hAnsi="Calibri" w:cs="Calibri"/>
          <w:sz w:val="22"/>
          <w:szCs w:val="22"/>
        </w:rPr>
        <w:t xml:space="preserve">If </w:t>
      </w:r>
      <w:r w:rsidRPr="00597DA8">
        <w:rPr>
          <w:rFonts w:ascii="Calibri" w:hAnsi="Calibri" w:cs="Calibri"/>
          <w:sz w:val="22"/>
          <w:szCs w:val="22"/>
        </w:rPr>
        <w:t xml:space="preserve">you </w:t>
      </w:r>
      <w:r w:rsidR="000679C6" w:rsidRPr="00597DA8">
        <w:rPr>
          <w:rFonts w:ascii="Calibri" w:hAnsi="Calibri" w:cs="Calibri"/>
          <w:sz w:val="22"/>
          <w:szCs w:val="22"/>
        </w:rPr>
        <w:t>are close to retirement</w:t>
      </w:r>
      <w:r w:rsidR="001A76EB" w:rsidRPr="00597DA8">
        <w:rPr>
          <w:rFonts w:ascii="Calibri" w:hAnsi="Calibri" w:cs="Calibri"/>
          <w:sz w:val="22"/>
          <w:szCs w:val="22"/>
        </w:rPr>
        <w:t xml:space="preserve">, </w:t>
      </w:r>
      <w:r w:rsidR="000679C6" w:rsidRPr="00597DA8">
        <w:rPr>
          <w:rFonts w:ascii="Calibri" w:hAnsi="Calibri" w:cs="Calibri"/>
          <w:sz w:val="22"/>
          <w:szCs w:val="22"/>
        </w:rPr>
        <w:t xml:space="preserve">or you have very little appetite to take investment risk, you may decide </w:t>
      </w:r>
      <w:r w:rsidR="001A76EB" w:rsidRPr="00597DA8">
        <w:rPr>
          <w:rFonts w:ascii="Calibri" w:hAnsi="Calibri" w:cs="Calibri"/>
          <w:sz w:val="22"/>
          <w:szCs w:val="22"/>
        </w:rPr>
        <w:t xml:space="preserve">the fact that the value of your AVCs is unlikely to fall is your key priority and </w:t>
      </w:r>
      <w:r w:rsidR="000679C6" w:rsidRPr="00597DA8">
        <w:rPr>
          <w:rFonts w:ascii="Calibri" w:hAnsi="Calibri" w:cs="Calibri"/>
          <w:sz w:val="22"/>
          <w:szCs w:val="22"/>
        </w:rPr>
        <w:t xml:space="preserve">therefore these funds might be </w:t>
      </w:r>
      <w:r w:rsidR="000679C6" w:rsidRPr="00597DA8">
        <w:rPr>
          <w:rFonts w:ascii="Calibri" w:hAnsi="Calibri" w:cs="Calibri"/>
          <w:sz w:val="22"/>
          <w:szCs w:val="22"/>
        </w:rPr>
        <w:lastRenderedPageBreak/>
        <w:t xml:space="preserve">right for you.  </w:t>
      </w:r>
    </w:p>
    <w:p w14:paraId="04AD18A5" w14:textId="22FE3A0E" w:rsidR="000679C6" w:rsidRPr="00597DA8" w:rsidRDefault="000679C6" w:rsidP="0055493F">
      <w:pPr>
        <w:pStyle w:val="BodyText"/>
        <w:spacing w:after="120" w:line="264" w:lineRule="auto"/>
        <w:rPr>
          <w:rFonts w:ascii="Calibri" w:hAnsi="Calibri" w:cs="Calibri"/>
          <w:sz w:val="22"/>
          <w:szCs w:val="22"/>
        </w:rPr>
      </w:pPr>
      <w:r w:rsidRPr="00597DA8">
        <w:rPr>
          <w:rFonts w:ascii="Calibri" w:hAnsi="Calibri" w:cs="Calibri"/>
          <w:sz w:val="22"/>
          <w:szCs w:val="22"/>
        </w:rPr>
        <w:t>However, if you are comfortable taking some investment risk in return for the potential to achieve capital growth above the rate of inflation, then you may wish to consider the other investment options available</w:t>
      </w:r>
      <w:r w:rsidR="0055493F" w:rsidRPr="00597DA8">
        <w:rPr>
          <w:rFonts w:ascii="Calibri" w:hAnsi="Calibri" w:cs="Calibri"/>
          <w:sz w:val="22"/>
          <w:szCs w:val="22"/>
        </w:rPr>
        <w:t xml:space="preserve"> to you</w:t>
      </w:r>
      <w:r w:rsidRPr="00597DA8">
        <w:rPr>
          <w:rFonts w:ascii="Calibri" w:hAnsi="Calibri" w:cs="Calibri"/>
          <w:sz w:val="22"/>
          <w:szCs w:val="22"/>
        </w:rPr>
        <w:t>.</w:t>
      </w:r>
    </w:p>
    <w:p w14:paraId="2358F258" w14:textId="58301E1D" w:rsidR="000679C6" w:rsidRPr="00597DA8" w:rsidRDefault="000679C6" w:rsidP="0055493F">
      <w:pPr>
        <w:pStyle w:val="BodyText"/>
        <w:spacing w:after="120" w:line="264" w:lineRule="auto"/>
        <w:rPr>
          <w:rFonts w:ascii="Calibri" w:hAnsi="Calibri" w:cs="Calibri"/>
          <w:sz w:val="22"/>
          <w:szCs w:val="22"/>
        </w:rPr>
      </w:pPr>
      <w:r w:rsidRPr="00597DA8">
        <w:rPr>
          <w:rFonts w:ascii="Calibri" w:hAnsi="Calibri" w:cs="Calibri"/>
          <w:sz w:val="22"/>
          <w:szCs w:val="22"/>
        </w:rPr>
        <w:t>You should be aware that the Deposit Fund is closed to money coming in so</w:t>
      </w:r>
      <w:r w:rsidR="0055493F" w:rsidRPr="00597DA8">
        <w:rPr>
          <w:rFonts w:ascii="Calibri" w:hAnsi="Calibri" w:cs="Calibri"/>
          <w:sz w:val="22"/>
          <w:szCs w:val="22"/>
        </w:rPr>
        <w:t>,</w:t>
      </w:r>
      <w:r w:rsidRPr="00597DA8">
        <w:rPr>
          <w:rFonts w:ascii="Calibri" w:hAnsi="Calibri" w:cs="Calibri"/>
          <w:sz w:val="22"/>
          <w:szCs w:val="22"/>
        </w:rPr>
        <w:t xml:space="preserve"> if you switch out of this Fund, you will not be able to switch back into it at a later date.</w:t>
      </w:r>
    </w:p>
    <w:p w14:paraId="549EABBD" w14:textId="53EA3E56" w:rsidR="000679C6" w:rsidRPr="00710A4D" w:rsidRDefault="0055493F" w:rsidP="00580CD5">
      <w:pPr>
        <w:pStyle w:val="Heading1"/>
        <w:tabs>
          <w:tab w:val="left" w:pos="351"/>
        </w:tabs>
        <w:spacing w:after="120"/>
        <w:ind w:left="0"/>
        <w:rPr>
          <w:rFonts w:ascii="Calibri" w:hAnsi="Calibri" w:cs="Calibri"/>
          <w:color w:val="244D7A"/>
          <w:sz w:val="22"/>
          <w:szCs w:val="22"/>
        </w:rPr>
      </w:pPr>
      <w:r w:rsidRPr="00710A4D">
        <w:rPr>
          <w:rFonts w:ascii="Calibri" w:hAnsi="Calibri" w:cs="Calibri"/>
          <w:color w:val="244D7A"/>
          <w:sz w:val="22"/>
          <w:szCs w:val="22"/>
        </w:rPr>
        <w:t>Bond investments have been volatile</w:t>
      </w:r>
    </w:p>
    <w:p w14:paraId="3F45B9BC" w14:textId="6F0CF071" w:rsidR="00876074" w:rsidRPr="00710A4D" w:rsidRDefault="00876074" w:rsidP="00876074">
      <w:pPr>
        <w:pStyle w:val="Heading1"/>
        <w:tabs>
          <w:tab w:val="left" w:pos="350"/>
        </w:tabs>
        <w:spacing w:after="120"/>
        <w:ind w:left="0"/>
        <w:rPr>
          <w:rFonts w:ascii="Calibri" w:hAnsi="Calibri" w:cs="Calibri"/>
          <w:i/>
          <w:iCs/>
          <w:color w:val="244D7A"/>
          <w:sz w:val="22"/>
          <w:szCs w:val="22"/>
        </w:rPr>
      </w:pPr>
      <w:r w:rsidRPr="00710A4D">
        <w:rPr>
          <w:rFonts w:ascii="Calibri" w:hAnsi="Calibri" w:cs="Calibri"/>
          <w:i/>
          <w:iCs/>
          <w:color w:val="244D7A"/>
          <w:sz w:val="22"/>
          <w:szCs w:val="22"/>
        </w:rPr>
        <w:t>Relevant if your AVCs are invested in the Prudential Fixed Interest Fund, Index-Linked, Long Term Bond or the Long Term Gilt Passive Fund</w:t>
      </w:r>
    </w:p>
    <w:p w14:paraId="3E288DEA" w14:textId="404E5EAB" w:rsidR="000679C6" w:rsidRPr="00597DA8" w:rsidRDefault="0055493F" w:rsidP="00365552">
      <w:pPr>
        <w:pStyle w:val="BodyText"/>
        <w:spacing w:after="120" w:line="264" w:lineRule="auto"/>
        <w:rPr>
          <w:rFonts w:ascii="Calibri" w:hAnsi="Calibri" w:cs="Calibri"/>
          <w:sz w:val="22"/>
          <w:szCs w:val="22"/>
        </w:rPr>
      </w:pPr>
      <w:r w:rsidRPr="00597DA8">
        <w:rPr>
          <w:rFonts w:ascii="Calibri" w:hAnsi="Calibri" w:cs="Calibri"/>
          <w:sz w:val="22"/>
          <w:szCs w:val="22"/>
        </w:rPr>
        <w:t xml:space="preserve">Historically corporate bonds (loans to companies) and </w:t>
      </w:r>
      <w:r w:rsidR="00876074" w:rsidRPr="00597DA8">
        <w:rPr>
          <w:rFonts w:ascii="Calibri" w:hAnsi="Calibri" w:cs="Calibri"/>
          <w:sz w:val="22"/>
          <w:szCs w:val="22"/>
        </w:rPr>
        <w:t>government bonds</w:t>
      </w:r>
      <w:r w:rsidR="00365552" w:rsidRPr="00597DA8">
        <w:rPr>
          <w:rFonts w:ascii="Calibri" w:hAnsi="Calibri" w:cs="Calibri"/>
          <w:sz w:val="22"/>
          <w:szCs w:val="22"/>
        </w:rPr>
        <w:t xml:space="preserve"> / </w:t>
      </w:r>
      <w:r w:rsidRPr="00597DA8">
        <w:rPr>
          <w:rFonts w:ascii="Calibri" w:hAnsi="Calibri" w:cs="Calibri"/>
          <w:sz w:val="22"/>
          <w:szCs w:val="22"/>
        </w:rPr>
        <w:t xml:space="preserve">Gilts (loans to the UK Government) have been considered </w:t>
      </w:r>
      <w:r w:rsidR="000679C6" w:rsidRPr="00597DA8">
        <w:rPr>
          <w:rFonts w:ascii="Calibri" w:hAnsi="Calibri" w:cs="Calibri"/>
          <w:sz w:val="22"/>
          <w:szCs w:val="22"/>
        </w:rPr>
        <w:t xml:space="preserve">a more stable investment, compared to </w:t>
      </w:r>
      <w:r w:rsidRPr="00597DA8">
        <w:rPr>
          <w:rFonts w:ascii="Calibri" w:hAnsi="Calibri" w:cs="Calibri"/>
          <w:sz w:val="22"/>
          <w:szCs w:val="22"/>
        </w:rPr>
        <w:t xml:space="preserve">investments that go up and down a lot, </w:t>
      </w:r>
      <w:r w:rsidR="000679C6" w:rsidRPr="00597DA8">
        <w:rPr>
          <w:rFonts w:ascii="Calibri" w:hAnsi="Calibri" w:cs="Calibri"/>
          <w:sz w:val="22"/>
          <w:szCs w:val="22"/>
        </w:rPr>
        <w:t xml:space="preserve">such as equities. However, </w:t>
      </w:r>
      <w:r w:rsidR="001A76EB" w:rsidRPr="00597DA8">
        <w:rPr>
          <w:rFonts w:ascii="Calibri" w:hAnsi="Calibri" w:cs="Calibri"/>
          <w:sz w:val="22"/>
          <w:szCs w:val="22"/>
        </w:rPr>
        <w:t xml:space="preserve">returns </w:t>
      </w:r>
      <w:r w:rsidR="004A034D" w:rsidRPr="00597DA8">
        <w:rPr>
          <w:rFonts w:ascii="Calibri" w:hAnsi="Calibri" w:cs="Calibri"/>
          <w:sz w:val="22"/>
          <w:szCs w:val="22"/>
        </w:rPr>
        <w:t xml:space="preserve">from </w:t>
      </w:r>
      <w:r w:rsidR="00365552" w:rsidRPr="00597DA8">
        <w:rPr>
          <w:rFonts w:ascii="Calibri" w:hAnsi="Calibri" w:cs="Calibri"/>
          <w:sz w:val="22"/>
          <w:szCs w:val="22"/>
        </w:rPr>
        <w:t>Gilts in particular</w:t>
      </w:r>
      <w:r w:rsidR="000679C6" w:rsidRPr="00597DA8">
        <w:rPr>
          <w:rFonts w:ascii="Calibri" w:hAnsi="Calibri" w:cs="Calibri"/>
          <w:sz w:val="22"/>
          <w:szCs w:val="22"/>
        </w:rPr>
        <w:t xml:space="preserve"> have been </w:t>
      </w:r>
      <w:r w:rsidR="001A76EB" w:rsidRPr="00597DA8">
        <w:rPr>
          <w:rFonts w:ascii="Calibri" w:hAnsi="Calibri" w:cs="Calibri"/>
          <w:sz w:val="22"/>
          <w:szCs w:val="22"/>
        </w:rPr>
        <w:t xml:space="preserve">far more </w:t>
      </w:r>
      <w:r w:rsidR="000679C6" w:rsidRPr="00597DA8">
        <w:rPr>
          <w:rFonts w:ascii="Calibri" w:hAnsi="Calibri" w:cs="Calibri"/>
          <w:sz w:val="22"/>
          <w:szCs w:val="22"/>
        </w:rPr>
        <w:t xml:space="preserve">volatile in recent years due to </w:t>
      </w:r>
      <w:r w:rsidR="001A76EB" w:rsidRPr="00597DA8">
        <w:rPr>
          <w:rFonts w:ascii="Calibri" w:hAnsi="Calibri" w:cs="Calibri"/>
          <w:sz w:val="22"/>
          <w:szCs w:val="22"/>
        </w:rPr>
        <w:t xml:space="preserve">the </w:t>
      </w:r>
      <w:r w:rsidR="000679C6" w:rsidRPr="00597DA8">
        <w:rPr>
          <w:rFonts w:ascii="Calibri" w:hAnsi="Calibri" w:cs="Calibri"/>
          <w:sz w:val="22"/>
          <w:szCs w:val="22"/>
        </w:rPr>
        <w:t>extreme market events experience</w:t>
      </w:r>
      <w:r w:rsidRPr="00597DA8">
        <w:rPr>
          <w:rFonts w:ascii="Calibri" w:hAnsi="Calibri" w:cs="Calibri"/>
          <w:sz w:val="22"/>
          <w:szCs w:val="22"/>
        </w:rPr>
        <w:t>d</w:t>
      </w:r>
      <w:r w:rsidR="000679C6" w:rsidRPr="00597DA8">
        <w:rPr>
          <w:rFonts w:ascii="Calibri" w:hAnsi="Calibri" w:cs="Calibri"/>
          <w:sz w:val="22"/>
          <w:szCs w:val="22"/>
        </w:rPr>
        <w:t xml:space="preserve"> over this period, such as the COVID-19 pandemic, uncertainty</w:t>
      </w:r>
      <w:r w:rsidR="001A76EB" w:rsidRPr="00597DA8">
        <w:rPr>
          <w:rFonts w:ascii="Calibri" w:hAnsi="Calibri" w:cs="Calibri"/>
          <w:sz w:val="22"/>
          <w:szCs w:val="22"/>
        </w:rPr>
        <w:t xml:space="preserve"> over Brexit</w:t>
      </w:r>
      <w:r w:rsidRPr="00597DA8">
        <w:rPr>
          <w:rFonts w:ascii="Calibri" w:hAnsi="Calibri" w:cs="Calibri"/>
          <w:sz w:val="22"/>
          <w:szCs w:val="22"/>
        </w:rPr>
        <w:t>, the ‘mini budget’ in September 2022</w:t>
      </w:r>
      <w:r w:rsidR="000679C6" w:rsidRPr="00597DA8">
        <w:rPr>
          <w:rFonts w:ascii="Calibri" w:hAnsi="Calibri" w:cs="Calibri"/>
          <w:sz w:val="22"/>
          <w:szCs w:val="22"/>
        </w:rPr>
        <w:t xml:space="preserve"> and increasing Bank of England interest rates to combat high inflation.</w:t>
      </w:r>
    </w:p>
    <w:p w14:paraId="337239B2" w14:textId="2250C93A" w:rsidR="00FE40F1" w:rsidRPr="00597DA8" w:rsidRDefault="000679C6" w:rsidP="00365552">
      <w:pPr>
        <w:pStyle w:val="BodyText"/>
        <w:spacing w:after="120" w:line="264" w:lineRule="auto"/>
        <w:rPr>
          <w:rFonts w:ascii="Calibri" w:hAnsi="Calibri" w:cs="Calibri"/>
          <w:sz w:val="22"/>
          <w:szCs w:val="22"/>
        </w:rPr>
      </w:pPr>
      <w:r w:rsidRPr="00597DA8">
        <w:rPr>
          <w:rFonts w:ascii="Calibri" w:hAnsi="Calibri" w:cs="Calibri"/>
          <w:sz w:val="22"/>
          <w:szCs w:val="22"/>
        </w:rPr>
        <w:t>If your AVCs are invested in the</w:t>
      </w:r>
      <w:r w:rsidR="00876074" w:rsidRPr="00597DA8">
        <w:rPr>
          <w:rFonts w:ascii="Calibri" w:hAnsi="Calibri" w:cs="Calibri"/>
          <w:sz w:val="22"/>
          <w:szCs w:val="22"/>
        </w:rPr>
        <w:t xml:space="preserve"> funds listed above, </w:t>
      </w:r>
      <w:r w:rsidR="0055493F" w:rsidRPr="00597DA8">
        <w:rPr>
          <w:rFonts w:ascii="Calibri" w:hAnsi="Calibri" w:cs="Calibri"/>
          <w:sz w:val="22"/>
          <w:szCs w:val="22"/>
        </w:rPr>
        <w:t>you will have seen their value fall significantly</w:t>
      </w:r>
      <w:r w:rsidRPr="00597DA8">
        <w:rPr>
          <w:rFonts w:ascii="Calibri" w:hAnsi="Calibri" w:cs="Calibri"/>
          <w:sz w:val="22"/>
          <w:szCs w:val="22"/>
        </w:rPr>
        <w:t>.</w:t>
      </w:r>
      <w:r w:rsidR="00FE40F1" w:rsidRPr="00597DA8">
        <w:rPr>
          <w:rFonts w:ascii="Calibri" w:hAnsi="Calibri" w:cs="Calibri"/>
          <w:sz w:val="22"/>
          <w:szCs w:val="22"/>
        </w:rPr>
        <w:t xml:space="preserve">  </w:t>
      </w:r>
    </w:p>
    <w:p w14:paraId="094E75AE" w14:textId="337CCEEF" w:rsidR="00597DA8" w:rsidRPr="00597DA8" w:rsidRDefault="00E22031" w:rsidP="00597DA8">
      <w:pPr>
        <w:pStyle w:val="Heading1"/>
        <w:tabs>
          <w:tab w:val="left" w:pos="351"/>
        </w:tabs>
        <w:spacing w:after="120" w:line="264" w:lineRule="auto"/>
        <w:ind w:left="0"/>
        <w:rPr>
          <w:rFonts w:ascii="Calibri" w:hAnsi="Calibri" w:cs="Calibri"/>
          <w:b w:val="0"/>
          <w:bCs w:val="0"/>
          <w:sz w:val="22"/>
          <w:szCs w:val="22"/>
        </w:rPr>
      </w:pPr>
      <w:r w:rsidRPr="00597DA8">
        <w:rPr>
          <w:rFonts w:ascii="Calibri" w:hAnsi="Calibri" w:cs="Calibri"/>
          <w:b w:val="0"/>
          <w:bCs w:val="0"/>
          <w:sz w:val="22"/>
          <w:szCs w:val="22"/>
        </w:rPr>
        <w:t>D</w:t>
      </w:r>
      <w:r w:rsidR="00876074" w:rsidRPr="00597DA8">
        <w:rPr>
          <w:rFonts w:ascii="Calibri" w:hAnsi="Calibri" w:cs="Calibri"/>
          <w:b w:val="0"/>
          <w:bCs w:val="0"/>
          <w:sz w:val="22"/>
          <w:szCs w:val="22"/>
        </w:rPr>
        <w:t xml:space="preserve">espite suffering losses, </w:t>
      </w:r>
      <w:r w:rsidR="00365552" w:rsidRPr="00597DA8">
        <w:rPr>
          <w:rFonts w:ascii="Calibri" w:hAnsi="Calibri" w:cs="Calibri"/>
          <w:b w:val="0"/>
          <w:bCs w:val="0"/>
          <w:sz w:val="22"/>
          <w:szCs w:val="22"/>
        </w:rPr>
        <w:t>investing in these</w:t>
      </w:r>
      <w:r w:rsidR="00876074" w:rsidRPr="00597DA8">
        <w:rPr>
          <w:rFonts w:ascii="Calibri" w:hAnsi="Calibri" w:cs="Calibri"/>
          <w:b w:val="0"/>
          <w:bCs w:val="0"/>
          <w:sz w:val="22"/>
          <w:szCs w:val="22"/>
        </w:rPr>
        <w:t xml:space="preserve"> funds</w:t>
      </w:r>
      <w:r w:rsidRPr="00597DA8">
        <w:rPr>
          <w:rFonts w:ascii="Calibri" w:hAnsi="Calibri" w:cs="Calibri"/>
          <w:b w:val="0"/>
          <w:bCs w:val="0"/>
          <w:sz w:val="22"/>
          <w:szCs w:val="22"/>
        </w:rPr>
        <w:t xml:space="preserve"> </w:t>
      </w:r>
      <w:r w:rsidR="00365552" w:rsidRPr="00597DA8">
        <w:rPr>
          <w:rFonts w:ascii="Calibri" w:hAnsi="Calibri" w:cs="Calibri"/>
          <w:b w:val="0"/>
          <w:bCs w:val="0"/>
          <w:sz w:val="22"/>
          <w:szCs w:val="22"/>
        </w:rPr>
        <w:t>is</w:t>
      </w:r>
      <w:r w:rsidRPr="00597DA8">
        <w:rPr>
          <w:rFonts w:ascii="Calibri" w:hAnsi="Calibri" w:cs="Calibri"/>
          <w:b w:val="0"/>
          <w:bCs w:val="0"/>
          <w:sz w:val="22"/>
          <w:szCs w:val="22"/>
        </w:rPr>
        <w:t xml:space="preserve"> likely to</w:t>
      </w:r>
      <w:r w:rsidR="00876074" w:rsidRPr="00597DA8">
        <w:rPr>
          <w:rFonts w:ascii="Calibri" w:hAnsi="Calibri" w:cs="Calibri"/>
          <w:b w:val="0"/>
          <w:bCs w:val="0"/>
          <w:sz w:val="22"/>
          <w:szCs w:val="22"/>
        </w:rPr>
        <w:t xml:space="preserve"> remain an effective way of protecting the power of your AVCs to buy an annuity.  </w:t>
      </w:r>
      <w:r w:rsidRPr="00597DA8">
        <w:rPr>
          <w:rFonts w:ascii="Calibri" w:hAnsi="Calibri" w:cs="Calibri"/>
          <w:b w:val="0"/>
          <w:bCs w:val="0"/>
          <w:sz w:val="22"/>
          <w:szCs w:val="22"/>
        </w:rPr>
        <w:t xml:space="preserve">Although none of these funds specifically aim to target </w:t>
      </w:r>
      <w:r w:rsidR="00876074" w:rsidRPr="00597DA8">
        <w:rPr>
          <w:rFonts w:ascii="Calibri" w:hAnsi="Calibri" w:cs="Calibri"/>
          <w:b w:val="0"/>
          <w:bCs w:val="0"/>
          <w:sz w:val="22"/>
          <w:szCs w:val="22"/>
        </w:rPr>
        <w:t xml:space="preserve">annuity </w:t>
      </w:r>
      <w:r w:rsidRPr="00597DA8">
        <w:rPr>
          <w:rFonts w:ascii="Calibri" w:hAnsi="Calibri" w:cs="Calibri"/>
          <w:b w:val="0"/>
          <w:bCs w:val="0"/>
          <w:sz w:val="22"/>
          <w:szCs w:val="22"/>
        </w:rPr>
        <w:t xml:space="preserve">prices, annuity </w:t>
      </w:r>
      <w:r w:rsidR="00876074" w:rsidRPr="00597DA8">
        <w:rPr>
          <w:rFonts w:ascii="Calibri" w:hAnsi="Calibri" w:cs="Calibri"/>
          <w:b w:val="0"/>
          <w:bCs w:val="0"/>
          <w:sz w:val="22"/>
          <w:szCs w:val="22"/>
        </w:rPr>
        <w:t xml:space="preserve">rates are affected by </w:t>
      </w:r>
      <w:r w:rsidRPr="00597DA8">
        <w:rPr>
          <w:rFonts w:ascii="Calibri" w:hAnsi="Calibri" w:cs="Calibri"/>
          <w:b w:val="0"/>
          <w:bCs w:val="0"/>
          <w:sz w:val="22"/>
          <w:szCs w:val="22"/>
        </w:rPr>
        <w:t xml:space="preserve">gilt yields and interest rates, amongst other things.  This means that when the Prudential Fixed Interest, Long Term Bond or Long Term Gilt Passive Funds fall in value, the price of a level annuity tends to go down, so the amount of guaranteed income that can be bought with the fund stays broadly the same.  This is also true of the Prudential Index-Linked Fund and index-linked annuity rates.   </w:t>
      </w:r>
    </w:p>
    <w:p w14:paraId="2374A5BF" w14:textId="5DCB3E65" w:rsidR="005F51C8" w:rsidRPr="00710A4D" w:rsidRDefault="00580CD5" w:rsidP="00580CD5">
      <w:pPr>
        <w:pStyle w:val="Heading1"/>
        <w:tabs>
          <w:tab w:val="left" w:pos="351"/>
        </w:tabs>
        <w:spacing w:after="120"/>
        <w:ind w:left="0"/>
        <w:rPr>
          <w:rFonts w:ascii="Calibri" w:hAnsi="Calibri" w:cs="Calibri"/>
          <w:color w:val="244D7A"/>
          <w:sz w:val="22"/>
          <w:szCs w:val="22"/>
        </w:rPr>
      </w:pPr>
      <w:r w:rsidRPr="00710A4D">
        <w:rPr>
          <w:rFonts w:ascii="Calibri" w:hAnsi="Calibri" w:cs="Calibri"/>
          <w:color w:val="244D7A"/>
          <w:sz w:val="22"/>
          <w:szCs w:val="22"/>
        </w:rPr>
        <w:t xml:space="preserve">Actively managed equity fund underperformance </w:t>
      </w:r>
    </w:p>
    <w:p w14:paraId="2374A5C0" w14:textId="09926824" w:rsidR="005F51C8" w:rsidRPr="00710A4D" w:rsidRDefault="00580CD5" w:rsidP="00580CD5">
      <w:pPr>
        <w:pStyle w:val="BodyText"/>
        <w:spacing w:after="120"/>
        <w:rPr>
          <w:rFonts w:ascii="Calibri" w:hAnsi="Calibri" w:cs="Calibri"/>
          <w:b/>
          <w:bCs/>
          <w:color w:val="244D7A"/>
          <w:sz w:val="22"/>
          <w:szCs w:val="22"/>
        </w:rPr>
      </w:pPr>
      <w:r w:rsidRPr="00710A4D">
        <w:rPr>
          <w:rFonts w:ascii="Calibri" w:hAnsi="Calibri" w:cs="Calibri"/>
          <w:b/>
          <w:bCs/>
          <w:i/>
          <w:iCs/>
          <w:color w:val="244D7A"/>
          <w:sz w:val="22"/>
          <w:szCs w:val="22"/>
        </w:rPr>
        <w:t>Relevant if your AVCs are invested in the Prudential UK Equity Fund</w:t>
      </w:r>
    </w:p>
    <w:p w14:paraId="2374A5C1" w14:textId="25F13605" w:rsidR="005F51C8" w:rsidRPr="00597DA8" w:rsidRDefault="00883ABB" w:rsidP="00365552">
      <w:pPr>
        <w:pStyle w:val="BodyText"/>
        <w:spacing w:after="120" w:line="264" w:lineRule="auto"/>
        <w:rPr>
          <w:rFonts w:ascii="Calibri" w:hAnsi="Calibri" w:cs="Calibri"/>
          <w:sz w:val="22"/>
          <w:szCs w:val="22"/>
        </w:rPr>
      </w:pPr>
      <w:r w:rsidRPr="00597DA8">
        <w:rPr>
          <w:rFonts w:ascii="Calibri" w:hAnsi="Calibri" w:cs="Calibri"/>
          <w:sz w:val="22"/>
          <w:szCs w:val="22"/>
        </w:rPr>
        <w:t xml:space="preserve">The </w:t>
      </w:r>
      <w:r w:rsidR="00D538C4" w:rsidRPr="00597DA8">
        <w:rPr>
          <w:rFonts w:ascii="Calibri" w:hAnsi="Calibri" w:cs="Calibri"/>
          <w:sz w:val="22"/>
          <w:szCs w:val="22"/>
        </w:rPr>
        <w:t xml:space="preserve">Prudential UK Equity Fund </w:t>
      </w:r>
      <w:r w:rsidR="004F2262" w:rsidRPr="00597DA8">
        <w:rPr>
          <w:rFonts w:ascii="Calibri" w:hAnsi="Calibri" w:cs="Calibri"/>
          <w:sz w:val="22"/>
          <w:szCs w:val="22"/>
        </w:rPr>
        <w:t>gener</w:t>
      </w:r>
      <w:r w:rsidR="009245D7" w:rsidRPr="00597DA8">
        <w:rPr>
          <w:rFonts w:ascii="Calibri" w:hAnsi="Calibri" w:cs="Calibri"/>
          <w:sz w:val="22"/>
          <w:szCs w:val="22"/>
        </w:rPr>
        <w:t xml:space="preserve">ated positive returns over </w:t>
      </w:r>
      <w:r w:rsidRPr="00597DA8">
        <w:rPr>
          <w:rFonts w:ascii="Calibri" w:hAnsi="Calibri" w:cs="Calibri"/>
          <w:sz w:val="22"/>
          <w:szCs w:val="22"/>
        </w:rPr>
        <w:t xml:space="preserve">1,3 and </w:t>
      </w:r>
      <w:r w:rsidR="006B47E5" w:rsidRPr="00597DA8">
        <w:rPr>
          <w:rFonts w:ascii="Calibri" w:hAnsi="Calibri" w:cs="Calibri"/>
          <w:sz w:val="22"/>
          <w:szCs w:val="22"/>
        </w:rPr>
        <w:t>5 years to 30 June 2023</w:t>
      </w:r>
      <w:r w:rsidR="00365552" w:rsidRPr="00597DA8">
        <w:rPr>
          <w:rFonts w:ascii="Calibri" w:hAnsi="Calibri" w:cs="Calibri"/>
          <w:sz w:val="22"/>
          <w:szCs w:val="22"/>
        </w:rPr>
        <w:t>.  H</w:t>
      </w:r>
      <w:r w:rsidR="00FE40F1" w:rsidRPr="00597DA8">
        <w:rPr>
          <w:rFonts w:ascii="Calibri" w:hAnsi="Calibri" w:cs="Calibri"/>
          <w:sz w:val="22"/>
          <w:szCs w:val="22"/>
        </w:rPr>
        <w:t>owever</w:t>
      </w:r>
      <w:r w:rsidR="00365552" w:rsidRPr="00597DA8">
        <w:rPr>
          <w:rFonts w:ascii="Calibri" w:hAnsi="Calibri" w:cs="Calibri"/>
          <w:sz w:val="22"/>
          <w:szCs w:val="22"/>
        </w:rPr>
        <w:t>,</w:t>
      </w:r>
      <w:r w:rsidR="00FE40F1" w:rsidRPr="00597DA8">
        <w:rPr>
          <w:rFonts w:ascii="Calibri" w:hAnsi="Calibri" w:cs="Calibri"/>
          <w:sz w:val="22"/>
          <w:szCs w:val="22"/>
        </w:rPr>
        <w:t xml:space="preserve"> returns were </w:t>
      </w:r>
      <w:r w:rsidR="006B47E5" w:rsidRPr="00597DA8">
        <w:rPr>
          <w:rFonts w:ascii="Calibri" w:hAnsi="Calibri" w:cs="Calibri"/>
          <w:sz w:val="22"/>
          <w:szCs w:val="22"/>
        </w:rPr>
        <w:t>consistently</w:t>
      </w:r>
      <w:r w:rsidR="00181A2D" w:rsidRPr="00597DA8">
        <w:rPr>
          <w:rFonts w:ascii="Calibri" w:hAnsi="Calibri" w:cs="Calibri"/>
          <w:sz w:val="22"/>
          <w:szCs w:val="22"/>
        </w:rPr>
        <w:t xml:space="preserve"> below</w:t>
      </w:r>
      <w:r w:rsidR="006B47E5" w:rsidRPr="00597DA8">
        <w:rPr>
          <w:rFonts w:ascii="Calibri" w:hAnsi="Calibri" w:cs="Calibri"/>
          <w:sz w:val="22"/>
          <w:szCs w:val="22"/>
        </w:rPr>
        <w:t xml:space="preserve"> </w:t>
      </w:r>
      <w:r w:rsidR="00D117FF" w:rsidRPr="00597DA8">
        <w:rPr>
          <w:rFonts w:ascii="Calibri" w:hAnsi="Calibri" w:cs="Calibri"/>
          <w:sz w:val="22"/>
          <w:szCs w:val="22"/>
        </w:rPr>
        <w:t xml:space="preserve">the </w:t>
      </w:r>
      <w:r w:rsidR="00FE40F1" w:rsidRPr="00597DA8">
        <w:rPr>
          <w:rFonts w:ascii="Calibri" w:hAnsi="Calibri" w:cs="Calibri"/>
          <w:sz w:val="22"/>
          <w:szCs w:val="22"/>
        </w:rPr>
        <w:t>F</w:t>
      </w:r>
      <w:r w:rsidR="00D117FF" w:rsidRPr="00597DA8">
        <w:rPr>
          <w:rFonts w:ascii="Calibri" w:hAnsi="Calibri" w:cs="Calibri"/>
          <w:sz w:val="22"/>
          <w:szCs w:val="22"/>
        </w:rPr>
        <w:t xml:space="preserve">und’s </w:t>
      </w:r>
      <w:r w:rsidRPr="00597DA8">
        <w:rPr>
          <w:rFonts w:ascii="Calibri" w:hAnsi="Calibri" w:cs="Calibri"/>
          <w:sz w:val="22"/>
          <w:szCs w:val="22"/>
        </w:rPr>
        <w:t>benchmark</w:t>
      </w:r>
      <w:r w:rsidR="00181A2D" w:rsidRPr="00597DA8">
        <w:rPr>
          <w:rFonts w:ascii="Calibri" w:hAnsi="Calibri" w:cs="Calibri"/>
          <w:sz w:val="22"/>
          <w:szCs w:val="22"/>
        </w:rPr>
        <w:t xml:space="preserve"> and </w:t>
      </w:r>
      <w:r w:rsidR="00FE40F1" w:rsidRPr="00597DA8">
        <w:rPr>
          <w:rFonts w:ascii="Calibri" w:hAnsi="Calibri" w:cs="Calibri"/>
          <w:sz w:val="22"/>
          <w:szCs w:val="22"/>
        </w:rPr>
        <w:t xml:space="preserve">the Fund did not achieve its </w:t>
      </w:r>
      <w:r w:rsidR="00181A2D" w:rsidRPr="00597DA8">
        <w:rPr>
          <w:rFonts w:ascii="Calibri" w:hAnsi="Calibri" w:cs="Calibri"/>
          <w:sz w:val="22"/>
          <w:szCs w:val="22"/>
        </w:rPr>
        <w:t>performance objective.</w:t>
      </w:r>
      <w:r w:rsidR="00FE40F1" w:rsidRPr="00597DA8">
        <w:rPr>
          <w:rFonts w:ascii="Calibri" w:hAnsi="Calibri" w:cs="Calibri"/>
          <w:sz w:val="22"/>
          <w:szCs w:val="22"/>
        </w:rPr>
        <w:t xml:space="preserve"> </w:t>
      </w:r>
    </w:p>
    <w:p w14:paraId="6B739A41" w14:textId="220556E6" w:rsidR="00FE40F1" w:rsidRPr="00597DA8" w:rsidRDefault="00FE40F1" w:rsidP="00597DA8">
      <w:pPr>
        <w:pStyle w:val="BodyText"/>
        <w:spacing w:after="120" w:line="264" w:lineRule="auto"/>
        <w:rPr>
          <w:rFonts w:ascii="Calibri" w:hAnsi="Calibri" w:cs="Calibri"/>
          <w:sz w:val="22"/>
          <w:szCs w:val="22"/>
        </w:rPr>
      </w:pPr>
      <w:r w:rsidRPr="00597DA8">
        <w:rPr>
          <w:rFonts w:ascii="Calibri" w:hAnsi="Calibri" w:cs="Calibri"/>
          <w:sz w:val="22"/>
          <w:szCs w:val="22"/>
        </w:rPr>
        <w:t xml:space="preserve">The Prudential UK Equity Passive Fund is available through the Fund’s AVC arrangement.  Unlike the UK Equity Fund, </w:t>
      </w:r>
      <w:r w:rsidR="00365552" w:rsidRPr="00597DA8">
        <w:rPr>
          <w:rFonts w:ascii="Calibri" w:hAnsi="Calibri" w:cs="Calibri"/>
          <w:sz w:val="22"/>
          <w:szCs w:val="22"/>
        </w:rPr>
        <w:t xml:space="preserve">the Prudential UK Equity Passive Fund </w:t>
      </w:r>
      <w:r w:rsidRPr="00597DA8">
        <w:rPr>
          <w:rFonts w:ascii="Calibri" w:hAnsi="Calibri" w:cs="Calibri"/>
          <w:sz w:val="22"/>
          <w:szCs w:val="22"/>
        </w:rPr>
        <w:t xml:space="preserve">does not have the potential to out-perform the FTSE All Share benchmark, but it </w:t>
      </w:r>
      <w:r w:rsidR="00365552" w:rsidRPr="00597DA8">
        <w:rPr>
          <w:rFonts w:ascii="Calibri" w:hAnsi="Calibri" w:cs="Calibri"/>
          <w:sz w:val="22"/>
          <w:szCs w:val="22"/>
        </w:rPr>
        <w:t xml:space="preserve">does carry a </w:t>
      </w:r>
      <w:r w:rsidRPr="00597DA8">
        <w:rPr>
          <w:rFonts w:ascii="Calibri" w:hAnsi="Calibri" w:cs="Calibri"/>
          <w:sz w:val="22"/>
          <w:szCs w:val="22"/>
        </w:rPr>
        <w:t>much lower risk of under-performing</w:t>
      </w:r>
      <w:r w:rsidR="00365552" w:rsidRPr="00597DA8">
        <w:rPr>
          <w:rFonts w:ascii="Calibri" w:hAnsi="Calibri" w:cs="Calibri"/>
          <w:sz w:val="22"/>
          <w:szCs w:val="22"/>
        </w:rPr>
        <w:t xml:space="preserve"> the benchmark</w:t>
      </w:r>
      <w:r w:rsidRPr="00597DA8">
        <w:rPr>
          <w:rFonts w:ascii="Calibri" w:hAnsi="Calibri" w:cs="Calibri"/>
          <w:sz w:val="22"/>
          <w:szCs w:val="22"/>
        </w:rPr>
        <w:t xml:space="preserve">.  </w:t>
      </w:r>
    </w:p>
    <w:p w14:paraId="5C42F317" w14:textId="49D48061" w:rsidR="00580CD5" w:rsidRPr="00710A4D" w:rsidRDefault="00580CD5" w:rsidP="00580CD5">
      <w:pPr>
        <w:pStyle w:val="BodyText"/>
        <w:spacing w:after="120"/>
        <w:rPr>
          <w:rFonts w:ascii="Calibri" w:hAnsi="Calibri" w:cs="Calibri"/>
          <w:b/>
          <w:bCs/>
          <w:color w:val="244D7A"/>
          <w:sz w:val="22"/>
          <w:szCs w:val="22"/>
        </w:rPr>
      </w:pPr>
      <w:r w:rsidRPr="00710A4D">
        <w:rPr>
          <w:rFonts w:ascii="Calibri" w:hAnsi="Calibri" w:cs="Calibri"/>
          <w:b/>
          <w:bCs/>
          <w:color w:val="244D7A"/>
          <w:sz w:val="22"/>
          <w:szCs w:val="22"/>
        </w:rPr>
        <w:t>Action required</w:t>
      </w:r>
    </w:p>
    <w:p w14:paraId="5A076126" w14:textId="77777777" w:rsidR="002E2396" w:rsidRPr="00597DA8" w:rsidRDefault="00580CD5" w:rsidP="00365552">
      <w:pPr>
        <w:pStyle w:val="BodyText"/>
        <w:spacing w:after="120" w:line="264" w:lineRule="auto"/>
        <w:rPr>
          <w:rFonts w:ascii="Calibri" w:hAnsi="Calibri" w:cs="Calibri"/>
          <w:sz w:val="22"/>
          <w:szCs w:val="22"/>
        </w:rPr>
      </w:pPr>
      <w:r w:rsidRPr="00597DA8">
        <w:rPr>
          <w:rFonts w:ascii="Calibri" w:hAnsi="Calibri" w:cs="Calibri"/>
          <w:sz w:val="22"/>
          <w:szCs w:val="22"/>
        </w:rPr>
        <w:t xml:space="preserve">You should review the investment strategy for your AVCs regularly to make sure it remains suited to your requirements.  </w:t>
      </w:r>
    </w:p>
    <w:p w14:paraId="1CE557E6" w14:textId="327374B4" w:rsidR="002E2396" w:rsidRPr="00597DA8" w:rsidRDefault="002E2396" w:rsidP="00365552">
      <w:pPr>
        <w:pStyle w:val="BodyText"/>
        <w:spacing w:after="120" w:line="264" w:lineRule="auto"/>
        <w:rPr>
          <w:rFonts w:ascii="Calibri" w:hAnsi="Calibri" w:cs="Calibri"/>
          <w:sz w:val="22"/>
          <w:szCs w:val="22"/>
        </w:rPr>
      </w:pPr>
      <w:r w:rsidRPr="00597DA8">
        <w:rPr>
          <w:rFonts w:ascii="Calibri" w:hAnsi="Calibri" w:cs="Calibri"/>
          <w:sz w:val="22"/>
          <w:szCs w:val="22"/>
        </w:rPr>
        <w:t>You can switch to different funds at any time by contacting Prudential using the contact details in the investment guide</w:t>
      </w:r>
      <w:r w:rsidR="002502B5" w:rsidRPr="00597DA8">
        <w:rPr>
          <w:rFonts w:ascii="Calibri" w:hAnsi="Calibri" w:cs="Calibri"/>
          <w:sz w:val="22"/>
          <w:szCs w:val="22"/>
        </w:rPr>
        <w:t xml:space="preserve"> for the Fund’s AVC arrangement</w:t>
      </w:r>
      <w:r w:rsidRPr="00597DA8">
        <w:rPr>
          <w:rFonts w:ascii="Calibri" w:hAnsi="Calibri" w:cs="Calibri"/>
          <w:sz w:val="22"/>
          <w:szCs w:val="22"/>
        </w:rPr>
        <w:t>.</w:t>
      </w:r>
      <w:r w:rsidR="002502B5" w:rsidRPr="00597DA8">
        <w:rPr>
          <w:rFonts w:ascii="Calibri" w:hAnsi="Calibri" w:cs="Calibri"/>
          <w:sz w:val="22"/>
          <w:szCs w:val="22"/>
        </w:rPr>
        <w:t xml:space="preserve"> </w:t>
      </w:r>
      <w:r w:rsidRPr="00597DA8">
        <w:rPr>
          <w:rFonts w:ascii="Calibri" w:hAnsi="Calibri" w:cs="Calibri"/>
          <w:sz w:val="22"/>
          <w:szCs w:val="22"/>
        </w:rPr>
        <w:t xml:space="preserve"> </w:t>
      </w:r>
    </w:p>
    <w:p w14:paraId="24F1631F" w14:textId="05E30039" w:rsidR="00575567" w:rsidRDefault="00580CD5" w:rsidP="00365552">
      <w:pPr>
        <w:pStyle w:val="BodyText"/>
        <w:spacing w:after="120" w:line="264" w:lineRule="auto"/>
        <w:rPr>
          <w:rFonts w:ascii="Calibri" w:hAnsi="Calibri" w:cs="Calibri"/>
          <w:sz w:val="22"/>
          <w:szCs w:val="22"/>
        </w:rPr>
      </w:pPr>
      <w:r w:rsidRPr="00597DA8">
        <w:rPr>
          <w:rFonts w:ascii="Calibri" w:hAnsi="Calibri" w:cs="Calibri"/>
          <w:sz w:val="22"/>
          <w:szCs w:val="22"/>
        </w:rPr>
        <w:t xml:space="preserve">The investment guide sets out the options available to you, and the risks associated with each investment option. </w:t>
      </w:r>
      <w:r w:rsidR="002502B5" w:rsidRPr="00597DA8">
        <w:rPr>
          <w:rFonts w:ascii="Calibri" w:hAnsi="Calibri" w:cs="Calibri"/>
          <w:sz w:val="22"/>
          <w:szCs w:val="22"/>
        </w:rPr>
        <w:t>It</w:t>
      </w:r>
      <w:r w:rsidRPr="00597DA8">
        <w:rPr>
          <w:rFonts w:ascii="Calibri" w:hAnsi="Calibri" w:cs="Calibri"/>
          <w:sz w:val="22"/>
          <w:szCs w:val="22"/>
        </w:rPr>
        <w:t xml:space="preserve"> also contains a link to Prudential’s fund factsheets, which provide further information on each fund, including past performance. </w:t>
      </w:r>
    </w:p>
    <w:p w14:paraId="76941163" w14:textId="07753C9A" w:rsidR="00580CD5" w:rsidRPr="00710A4D" w:rsidRDefault="002502B5" w:rsidP="00580CD5">
      <w:pPr>
        <w:pStyle w:val="2ColumnBody"/>
        <w:rPr>
          <w:rFonts w:ascii="Calibri" w:hAnsi="Calibri" w:cs="Calibri"/>
          <w:b/>
          <w:bCs/>
          <w:color w:val="244D7A"/>
          <w:sz w:val="22"/>
          <w:szCs w:val="22"/>
        </w:rPr>
      </w:pPr>
      <w:r w:rsidRPr="00710A4D">
        <w:rPr>
          <w:rFonts w:ascii="Calibri" w:hAnsi="Calibri" w:cs="Calibri"/>
          <w:b/>
          <w:bCs/>
          <w:color w:val="244D7A"/>
          <w:sz w:val="22"/>
          <w:szCs w:val="22"/>
        </w:rPr>
        <w:t xml:space="preserve">Remember that </w:t>
      </w:r>
      <w:r w:rsidR="002E2396" w:rsidRPr="00710A4D">
        <w:rPr>
          <w:rFonts w:ascii="Calibri" w:hAnsi="Calibri" w:cs="Calibri"/>
          <w:b/>
          <w:bCs/>
          <w:color w:val="244D7A"/>
          <w:sz w:val="22"/>
          <w:szCs w:val="22"/>
        </w:rPr>
        <w:t>the</w:t>
      </w:r>
      <w:r w:rsidR="00580CD5" w:rsidRPr="00710A4D">
        <w:rPr>
          <w:rFonts w:ascii="Calibri" w:hAnsi="Calibri" w:cs="Calibri"/>
          <w:b/>
          <w:bCs/>
          <w:color w:val="244D7A"/>
          <w:sz w:val="22"/>
          <w:szCs w:val="22"/>
        </w:rPr>
        <w:t xml:space="preserve"> past performance </w:t>
      </w:r>
      <w:r w:rsidR="002E2396" w:rsidRPr="00710A4D">
        <w:rPr>
          <w:rFonts w:ascii="Calibri" w:hAnsi="Calibri" w:cs="Calibri"/>
          <w:b/>
          <w:bCs/>
          <w:color w:val="244D7A"/>
          <w:sz w:val="22"/>
          <w:szCs w:val="22"/>
        </w:rPr>
        <w:t xml:space="preserve">of a fund </w:t>
      </w:r>
      <w:r w:rsidR="00580CD5" w:rsidRPr="00710A4D">
        <w:rPr>
          <w:rFonts w:ascii="Calibri" w:hAnsi="Calibri" w:cs="Calibri"/>
          <w:b/>
          <w:bCs/>
          <w:color w:val="244D7A"/>
          <w:sz w:val="22"/>
          <w:szCs w:val="22"/>
        </w:rPr>
        <w:t xml:space="preserve">is </w:t>
      </w:r>
      <w:r w:rsidR="002E2396" w:rsidRPr="00710A4D">
        <w:rPr>
          <w:rFonts w:ascii="Calibri" w:hAnsi="Calibri" w:cs="Calibri"/>
          <w:b/>
          <w:bCs/>
          <w:color w:val="244D7A"/>
          <w:sz w:val="22"/>
          <w:szCs w:val="22"/>
        </w:rPr>
        <w:t>no</w:t>
      </w:r>
      <w:r w:rsidR="00580CD5" w:rsidRPr="00710A4D">
        <w:rPr>
          <w:rFonts w:ascii="Calibri" w:hAnsi="Calibri" w:cs="Calibri"/>
          <w:b/>
          <w:bCs/>
          <w:color w:val="244D7A"/>
          <w:sz w:val="22"/>
          <w:szCs w:val="22"/>
        </w:rPr>
        <w:t xml:space="preserve"> guide to future performance, which cannot be guaranteed in advance.  </w:t>
      </w:r>
    </w:p>
    <w:p w14:paraId="49A0087B" w14:textId="4C9E48A9" w:rsidR="00575567" w:rsidRDefault="002E526E" w:rsidP="00BC55FF">
      <w:pPr>
        <w:pStyle w:val="BodyText"/>
        <w:spacing w:after="120" w:line="264" w:lineRule="auto"/>
        <w:rPr>
          <w:rFonts w:asciiTheme="minorHAnsi" w:hAnsiTheme="minorHAnsi" w:cstheme="minorHAnsi"/>
          <w:sz w:val="22"/>
          <w:szCs w:val="22"/>
        </w:rPr>
      </w:pPr>
      <w:r w:rsidRPr="00597DA8">
        <w:rPr>
          <w:rFonts w:ascii="Calibri" w:hAnsi="Calibri" w:cs="Calibri"/>
          <w:sz w:val="22"/>
          <w:szCs w:val="22"/>
        </w:rPr>
        <w:t>Please also remember that the Prudential Deposit Fund is closed to money in.</w:t>
      </w:r>
    </w:p>
    <w:p w14:paraId="54F1FDC8" w14:textId="5424ED45" w:rsidR="00575567" w:rsidRPr="00615EC6" w:rsidRDefault="00575567" w:rsidP="00615EC6">
      <w:pPr>
        <w:pStyle w:val="BodyText"/>
        <w:spacing w:line="264" w:lineRule="auto"/>
        <w:rPr>
          <w:rFonts w:asciiTheme="minorHAnsi" w:hAnsiTheme="minorHAnsi" w:cstheme="minorHAnsi"/>
          <w:sz w:val="22"/>
          <w:szCs w:val="22"/>
        </w:rPr>
      </w:pPr>
      <w:r w:rsidRPr="00710A4D">
        <w:rPr>
          <w:rFonts w:asciiTheme="minorHAnsi" w:hAnsiTheme="minorHAnsi" w:cstheme="minorHAnsi"/>
          <w:sz w:val="22"/>
          <w:szCs w:val="22"/>
        </w:rPr>
        <w:t xml:space="preserve">You can access the </w:t>
      </w:r>
      <w:hyperlink r:id="rId13" w:history="1">
        <w:r w:rsidRPr="00124489">
          <w:rPr>
            <w:rStyle w:val="Hyperlink"/>
            <w:rFonts w:asciiTheme="minorHAnsi" w:hAnsiTheme="minorHAnsi" w:cstheme="minorHAnsi"/>
            <w:b/>
            <w:bCs/>
            <w:sz w:val="22"/>
            <w:szCs w:val="22"/>
          </w:rPr>
          <w:t xml:space="preserve">Fund’s investment guide </w:t>
        </w:r>
        <w:r w:rsidR="00124489" w:rsidRPr="00124489">
          <w:rPr>
            <w:rStyle w:val="Hyperlink"/>
            <w:rFonts w:asciiTheme="minorHAnsi" w:hAnsiTheme="minorHAnsi" w:cstheme="minorHAnsi"/>
            <w:b/>
            <w:bCs/>
            <w:sz w:val="22"/>
            <w:szCs w:val="22"/>
          </w:rPr>
          <w:t>here</w:t>
        </w:r>
      </w:hyperlink>
      <w:r w:rsidRPr="00710A4D">
        <w:rPr>
          <w:rFonts w:asciiTheme="minorHAnsi" w:hAnsiTheme="minorHAnsi" w:cstheme="minorHAnsi"/>
          <w:sz w:val="22"/>
          <w:szCs w:val="22"/>
        </w:rPr>
        <w:t xml:space="preserve"> </w:t>
      </w:r>
      <w:r w:rsidR="00615EC6">
        <w:rPr>
          <w:rFonts w:asciiTheme="minorHAnsi" w:hAnsiTheme="minorHAnsi" w:cstheme="minorHAnsi"/>
          <w:sz w:val="22"/>
          <w:szCs w:val="22"/>
        </w:rPr>
        <w:t>or</w:t>
      </w:r>
      <w:r w:rsidR="00712359">
        <w:rPr>
          <w:rFonts w:asciiTheme="minorHAnsi" w:hAnsiTheme="minorHAnsi" w:cstheme="minorHAnsi"/>
          <w:sz w:val="22"/>
          <w:szCs w:val="22"/>
        </w:rPr>
        <w:t xml:space="preserve"> </w:t>
      </w:r>
      <w:hyperlink r:id="rId14" w:history="1">
        <w:r w:rsidRPr="00712359">
          <w:rPr>
            <w:rStyle w:val="Hyperlink"/>
            <w:rFonts w:asciiTheme="minorHAnsi" w:hAnsiTheme="minorHAnsi" w:cstheme="minorHAnsi"/>
            <w:b/>
            <w:bCs/>
            <w:sz w:val="22"/>
            <w:szCs w:val="22"/>
          </w:rPr>
          <w:t>register for online access to your AVCs</w:t>
        </w:r>
        <w:r w:rsidR="00712359" w:rsidRPr="00712359">
          <w:rPr>
            <w:rStyle w:val="Hyperlink"/>
            <w:rFonts w:asciiTheme="minorHAnsi" w:hAnsiTheme="minorHAnsi" w:cstheme="minorHAnsi"/>
            <w:b/>
            <w:bCs/>
            <w:sz w:val="22"/>
            <w:szCs w:val="22"/>
          </w:rPr>
          <w:t xml:space="preserve"> here</w:t>
        </w:r>
      </w:hyperlink>
      <w:r w:rsidR="00712359">
        <w:rPr>
          <w:rFonts w:asciiTheme="minorHAnsi" w:hAnsiTheme="minorHAnsi" w:cstheme="minorHAnsi"/>
          <w:sz w:val="22"/>
          <w:szCs w:val="22"/>
        </w:rPr>
        <w:t>.</w:t>
      </w:r>
      <w:r w:rsidRPr="00710A4D">
        <w:rPr>
          <w:rFonts w:asciiTheme="minorHAnsi" w:hAnsiTheme="minorHAnsi" w:cstheme="minorHAnsi"/>
        </w:rPr>
        <w:t xml:space="preserve"> </w:t>
      </w:r>
    </w:p>
    <w:p w14:paraId="62A1BC78" w14:textId="77A375DF" w:rsidR="00575567" w:rsidRPr="00710A4D" w:rsidRDefault="00575567" w:rsidP="001F5D6D">
      <w:pPr>
        <w:rPr>
          <w:rFonts w:asciiTheme="minorHAnsi" w:hAnsiTheme="minorHAnsi" w:cstheme="minorHAnsi"/>
        </w:rPr>
      </w:pPr>
    </w:p>
    <w:sectPr w:rsidR="00575567" w:rsidRPr="00710A4D" w:rsidSect="00575567">
      <w:headerReference w:type="default" r:id="rId15"/>
      <w:footerReference w:type="default" r:id="rId16"/>
      <w:pgSz w:w="11910" w:h="16840"/>
      <w:pgMar w:top="720" w:right="720" w:bottom="720" w:left="72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FD66" w14:textId="77777777" w:rsidR="00A672EB" w:rsidRDefault="00A672EB" w:rsidP="009620CE">
      <w:r>
        <w:separator/>
      </w:r>
    </w:p>
  </w:endnote>
  <w:endnote w:type="continuationSeparator" w:id="0">
    <w:p w14:paraId="7AABBF59" w14:textId="77777777" w:rsidR="00A672EB" w:rsidRDefault="00A672EB" w:rsidP="009620CE">
      <w:r>
        <w:continuationSeparator/>
      </w:r>
    </w:p>
  </w:endnote>
  <w:endnote w:type="continuationNotice" w:id="1">
    <w:p w14:paraId="7755F0EA" w14:textId="77777777" w:rsidR="00A672EB" w:rsidRDefault="00A6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8AF9" w14:textId="4FBDBDBE" w:rsidR="00473601" w:rsidRDefault="00473601">
    <w:pPr>
      <w:pStyle w:val="Footer"/>
    </w:pPr>
    <w:r>
      <w:rPr>
        <w:noProof/>
      </w:rPr>
      <w:drawing>
        <wp:inline distT="0" distB="0" distL="0" distR="0" wp14:anchorId="3D250A53" wp14:editId="5109E5FF">
          <wp:extent cx="1778400" cy="676800"/>
          <wp:effectExtent l="0" t="0" r="0" b="9525"/>
          <wp:docPr id="13" name="Picture 13"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2757" w14:textId="77777777" w:rsidR="00A672EB" w:rsidRDefault="00A672EB" w:rsidP="009620CE">
      <w:r>
        <w:separator/>
      </w:r>
    </w:p>
  </w:footnote>
  <w:footnote w:type="continuationSeparator" w:id="0">
    <w:p w14:paraId="06CF4BF2" w14:textId="77777777" w:rsidR="00A672EB" w:rsidRDefault="00A672EB" w:rsidP="009620CE">
      <w:r>
        <w:continuationSeparator/>
      </w:r>
    </w:p>
  </w:footnote>
  <w:footnote w:type="continuationNotice" w:id="1">
    <w:p w14:paraId="19AD609F" w14:textId="77777777" w:rsidR="00A672EB" w:rsidRDefault="00A67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0C1A" w14:textId="6D1308F5" w:rsidR="00426638" w:rsidRDefault="00473601" w:rsidP="00473601">
    <w:pPr>
      <w:pStyle w:val="Header"/>
      <w:jc w:val="right"/>
    </w:pPr>
    <w:r>
      <w:rPr>
        <w:noProof/>
      </w:rPr>
      <w:drawing>
        <wp:inline distT="0" distB="0" distL="0" distR="0" wp14:anchorId="0E4B9FCF" wp14:editId="063E84F8">
          <wp:extent cx="2005200" cy="676800"/>
          <wp:effectExtent l="0" t="0" r="0" b="0"/>
          <wp:docPr id="2" name="Picture 2"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581D"/>
    <w:multiLevelType w:val="hybridMultilevel"/>
    <w:tmpl w:val="738A0244"/>
    <w:lvl w:ilvl="0" w:tplc="32D454A4">
      <w:start w:val="1"/>
      <w:numFmt w:val="decimal"/>
      <w:lvlText w:val="(%1)"/>
      <w:lvlJc w:val="left"/>
      <w:pPr>
        <w:ind w:left="350" w:hanging="227"/>
      </w:pPr>
      <w:rPr>
        <w:rFonts w:ascii="Arial" w:eastAsia="Arial" w:hAnsi="Arial" w:cs="Arial" w:hint="default"/>
        <w:b/>
        <w:bCs/>
        <w:spacing w:val="-1"/>
        <w:w w:val="99"/>
        <w:sz w:val="24"/>
        <w:szCs w:val="24"/>
        <w:lang w:val="en-GB" w:eastAsia="en-US" w:bidi="ar-SA"/>
      </w:rPr>
    </w:lvl>
    <w:lvl w:ilvl="1" w:tplc="DBB65082">
      <w:numFmt w:val="bullet"/>
      <w:lvlText w:val="•"/>
      <w:lvlJc w:val="left"/>
      <w:pPr>
        <w:ind w:left="2360" w:hanging="227"/>
      </w:pPr>
      <w:rPr>
        <w:rFonts w:hint="default"/>
        <w:lang w:val="en-GB" w:eastAsia="en-US" w:bidi="ar-SA"/>
      </w:rPr>
    </w:lvl>
    <w:lvl w:ilvl="2" w:tplc="0818BA26">
      <w:numFmt w:val="bullet"/>
      <w:lvlText w:val="•"/>
      <w:lvlJc w:val="left"/>
      <w:pPr>
        <w:ind w:left="3314" w:hanging="227"/>
      </w:pPr>
      <w:rPr>
        <w:rFonts w:hint="default"/>
        <w:lang w:val="en-GB" w:eastAsia="en-US" w:bidi="ar-SA"/>
      </w:rPr>
    </w:lvl>
    <w:lvl w:ilvl="3" w:tplc="EADA5076">
      <w:numFmt w:val="bullet"/>
      <w:lvlText w:val="•"/>
      <w:lvlJc w:val="left"/>
      <w:pPr>
        <w:ind w:left="4268" w:hanging="227"/>
      </w:pPr>
      <w:rPr>
        <w:rFonts w:hint="default"/>
        <w:lang w:val="en-GB" w:eastAsia="en-US" w:bidi="ar-SA"/>
      </w:rPr>
    </w:lvl>
    <w:lvl w:ilvl="4" w:tplc="507ABC32">
      <w:numFmt w:val="bullet"/>
      <w:lvlText w:val="•"/>
      <w:lvlJc w:val="left"/>
      <w:pPr>
        <w:ind w:left="5222" w:hanging="227"/>
      </w:pPr>
      <w:rPr>
        <w:rFonts w:hint="default"/>
        <w:lang w:val="en-GB" w:eastAsia="en-US" w:bidi="ar-SA"/>
      </w:rPr>
    </w:lvl>
    <w:lvl w:ilvl="5" w:tplc="735609FA">
      <w:numFmt w:val="bullet"/>
      <w:lvlText w:val="•"/>
      <w:lvlJc w:val="left"/>
      <w:pPr>
        <w:ind w:left="6176" w:hanging="227"/>
      </w:pPr>
      <w:rPr>
        <w:rFonts w:hint="default"/>
        <w:lang w:val="en-GB" w:eastAsia="en-US" w:bidi="ar-SA"/>
      </w:rPr>
    </w:lvl>
    <w:lvl w:ilvl="6" w:tplc="2ACADA98">
      <w:numFmt w:val="bullet"/>
      <w:lvlText w:val="•"/>
      <w:lvlJc w:val="left"/>
      <w:pPr>
        <w:ind w:left="7130" w:hanging="227"/>
      </w:pPr>
      <w:rPr>
        <w:rFonts w:hint="default"/>
        <w:lang w:val="en-GB" w:eastAsia="en-US" w:bidi="ar-SA"/>
      </w:rPr>
    </w:lvl>
    <w:lvl w:ilvl="7" w:tplc="9DA40832">
      <w:numFmt w:val="bullet"/>
      <w:lvlText w:val="•"/>
      <w:lvlJc w:val="left"/>
      <w:pPr>
        <w:ind w:left="8084" w:hanging="227"/>
      </w:pPr>
      <w:rPr>
        <w:rFonts w:hint="default"/>
        <w:lang w:val="en-GB" w:eastAsia="en-US" w:bidi="ar-SA"/>
      </w:rPr>
    </w:lvl>
    <w:lvl w:ilvl="8" w:tplc="B95ED8B8">
      <w:numFmt w:val="bullet"/>
      <w:lvlText w:val="•"/>
      <w:lvlJc w:val="left"/>
      <w:pPr>
        <w:ind w:left="9038" w:hanging="227"/>
      </w:pPr>
      <w:rPr>
        <w:rFonts w:hint="default"/>
        <w:lang w:val="en-GB" w:eastAsia="en-US" w:bidi="ar-SA"/>
      </w:rPr>
    </w:lvl>
  </w:abstractNum>
  <w:abstractNum w:abstractNumId="1" w15:restartNumberingAfterBreak="0">
    <w:nsid w:val="5CED3BA8"/>
    <w:multiLevelType w:val="hybridMultilevel"/>
    <w:tmpl w:val="9D52DFE2"/>
    <w:lvl w:ilvl="0" w:tplc="D3646110">
      <w:numFmt w:val="bullet"/>
      <w:lvlText w:val=""/>
      <w:lvlJc w:val="left"/>
      <w:pPr>
        <w:ind w:left="124" w:hanging="543"/>
      </w:pPr>
      <w:rPr>
        <w:rFonts w:ascii="Symbol" w:eastAsia="Symbol" w:hAnsi="Symbol" w:cs="Symbol" w:hint="default"/>
        <w:w w:val="99"/>
        <w:sz w:val="15"/>
        <w:szCs w:val="15"/>
        <w:lang w:val="en-GB" w:eastAsia="en-US" w:bidi="ar-SA"/>
      </w:rPr>
    </w:lvl>
    <w:lvl w:ilvl="1" w:tplc="413E6B32">
      <w:numFmt w:val="bullet"/>
      <w:lvlText w:val="•"/>
      <w:lvlJc w:val="left"/>
      <w:pPr>
        <w:ind w:left="1202" w:hanging="543"/>
      </w:pPr>
      <w:rPr>
        <w:rFonts w:hint="default"/>
        <w:lang w:val="en-GB" w:eastAsia="en-US" w:bidi="ar-SA"/>
      </w:rPr>
    </w:lvl>
    <w:lvl w:ilvl="2" w:tplc="F718F9CA">
      <w:numFmt w:val="bullet"/>
      <w:lvlText w:val="•"/>
      <w:lvlJc w:val="left"/>
      <w:pPr>
        <w:ind w:left="2285" w:hanging="543"/>
      </w:pPr>
      <w:rPr>
        <w:rFonts w:hint="default"/>
        <w:lang w:val="en-GB" w:eastAsia="en-US" w:bidi="ar-SA"/>
      </w:rPr>
    </w:lvl>
    <w:lvl w:ilvl="3" w:tplc="5FCA1CBE">
      <w:numFmt w:val="bullet"/>
      <w:lvlText w:val="•"/>
      <w:lvlJc w:val="left"/>
      <w:pPr>
        <w:ind w:left="3367" w:hanging="543"/>
      </w:pPr>
      <w:rPr>
        <w:rFonts w:hint="default"/>
        <w:lang w:val="en-GB" w:eastAsia="en-US" w:bidi="ar-SA"/>
      </w:rPr>
    </w:lvl>
    <w:lvl w:ilvl="4" w:tplc="FBE4F72C">
      <w:numFmt w:val="bullet"/>
      <w:lvlText w:val="•"/>
      <w:lvlJc w:val="left"/>
      <w:pPr>
        <w:ind w:left="4450" w:hanging="543"/>
      </w:pPr>
      <w:rPr>
        <w:rFonts w:hint="default"/>
        <w:lang w:val="en-GB" w:eastAsia="en-US" w:bidi="ar-SA"/>
      </w:rPr>
    </w:lvl>
    <w:lvl w:ilvl="5" w:tplc="EFF4FB3C">
      <w:numFmt w:val="bullet"/>
      <w:lvlText w:val="•"/>
      <w:lvlJc w:val="left"/>
      <w:pPr>
        <w:ind w:left="5533" w:hanging="543"/>
      </w:pPr>
      <w:rPr>
        <w:rFonts w:hint="default"/>
        <w:lang w:val="en-GB" w:eastAsia="en-US" w:bidi="ar-SA"/>
      </w:rPr>
    </w:lvl>
    <w:lvl w:ilvl="6" w:tplc="E85A4106">
      <w:numFmt w:val="bullet"/>
      <w:lvlText w:val="•"/>
      <w:lvlJc w:val="left"/>
      <w:pPr>
        <w:ind w:left="6615" w:hanging="543"/>
      </w:pPr>
      <w:rPr>
        <w:rFonts w:hint="default"/>
        <w:lang w:val="en-GB" w:eastAsia="en-US" w:bidi="ar-SA"/>
      </w:rPr>
    </w:lvl>
    <w:lvl w:ilvl="7" w:tplc="0C3CCB5C">
      <w:numFmt w:val="bullet"/>
      <w:lvlText w:val="•"/>
      <w:lvlJc w:val="left"/>
      <w:pPr>
        <w:ind w:left="7698" w:hanging="543"/>
      </w:pPr>
      <w:rPr>
        <w:rFonts w:hint="default"/>
        <w:lang w:val="en-GB" w:eastAsia="en-US" w:bidi="ar-SA"/>
      </w:rPr>
    </w:lvl>
    <w:lvl w:ilvl="8" w:tplc="174869E6">
      <w:numFmt w:val="bullet"/>
      <w:lvlText w:val="•"/>
      <w:lvlJc w:val="left"/>
      <w:pPr>
        <w:ind w:left="8781" w:hanging="543"/>
      </w:pPr>
      <w:rPr>
        <w:rFonts w:hint="default"/>
        <w:lang w:val="en-GB" w:eastAsia="en-US" w:bidi="ar-SA"/>
      </w:rPr>
    </w:lvl>
  </w:abstractNum>
  <w:num w:numId="1" w16cid:durableId="2047825132">
    <w:abstractNumId w:val="0"/>
  </w:num>
  <w:num w:numId="2" w16cid:durableId="41308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C8"/>
    <w:rsid w:val="000140B7"/>
    <w:rsid w:val="00046D32"/>
    <w:rsid w:val="00056DD7"/>
    <w:rsid w:val="000679C6"/>
    <w:rsid w:val="00092B20"/>
    <w:rsid w:val="000C3B62"/>
    <w:rsid w:val="000C3CE3"/>
    <w:rsid w:val="000D29FF"/>
    <w:rsid w:val="000D7B1A"/>
    <w:rsid w:val="000E26F6"/>
    <w:rsid w:val="00107409"/>
    <w:rsid w:val="00124489"/>
    <w:rsid w:val="00133AD0"/>
    <w:rsid w:val="00143FFD"/>
    <w:rsid w:val="001513C5"/>
    <w:rsid w:val="0016759D"/>
    <w:rsid w:val="00172C98"/>
    <w:rsid w:val="00172EDE"/>
    <w:rsid w:val="00173B5E"/>
    <w:rsid w:val="00177127"/>
    <w:rsid w:val="00181A2D"/>
    <w:rsid w:val="001A0C7C"/>
    <w:rsid w:val="001A76EB"/>
    <w:rsid w:val="001D2062"/>
    <w:rsid w:val="001D3764"/>
    <w:rsid w:val="001F5D6D"/>
    <w:rsid w:val="002023F6"/>
    <w:rsid w:val="0023085A"/>
    <w:rsid w:val="002421BD"/>
    <w:rsid w:val="002502B5"/>
    <w:rsid w:val="00275F23"/>
    <w:rsid w:val="00280ED1"/>
    <w:rsid w:val="00296A4B"/>
    <w:rsid w:val="0029749D"/>
    <w:rsid w:val="002A71CF"/>
    <w:rsid w:val="002B1FE6"/>
    <w:rsid w:val="002C2711"/>
    <w:rsid w:val="002E2396"/>
    <w:rsid w:val="002E4591"/>
    <w:rsid w:val="002E526E"/>
    <w:rsid w:val="002E62CC"/>
    <w:rsid w:val="0031142D"/>
    <w:rsid w:val="00341287"/>
    <w:rsid w:val="00365552"/>
    <w:rsid w:val="0038411F"/>
    <w:rsid w:val="00390A89"/>
    <w:rsid w:val="003A3391"/>
    <w:rsid w:val="003B445A"/>
    <w:rsid w:val="003F74B5"/>
    <w:rsid w:val="004054A0"/>
    <w:rsid w:val="00412713"/>
    <w:rsid w:val="00426638"/>
    <w:rsid w:val="0045061B"/>
    <w:rsid w:val="00473601"/>
    <w:rsid w:val="00487C78"/>
    <w:rsid w:val="004934DC"/>
    <w:rsid w:val="00494A1F"/>
    <w:rsid w:val="004A034D"/>
    <w:rsid w:val="004A13D0"/>
    <w:rsid w:val="004A1906"/>
    <w:rsid w:val="004A4024"/>
    <w:rsid w:val="004F2262"/>
    <w:rsid w:val="004F4E09"/>
    <w:rsid w:val="00513692"/>
    <w:rsid w:val="00542298"/>
    <w:rsid w:val="0055493F"/>
    <w:rsid w:val="00562DB2"/>
    <w:rsid w:val="00575567"/>
    <w:rsid w:val="00580CD5"/>
    <w:rsid w:val="00596B46"/>
    <w:rsid w:val="00597DA8"/>
    <w:rsid w:val="005A1C71"/>
    <w:rsid w:val="005A4EC4"/>
    <w:rsid w:val="005C0CCC"/>
    <w:rsid w:val="005F51C8"/>
    <w:rsid w:val="005F730C"/>
    <w:rsid w:val="005F7C8B"/>
    <w:rsid w:val="00602ECD"/>
    <w:rsid w:val="00604FB2"/>
    <w:rsid w:val="00607E33"/>
    <w:rsid w:val="0061476D"/>
    <w:rsid w:val="006153EB"/>
    <w:rsid w:val="00615EC6"/>
    <w:rsid w:val="0063736C"/>
    <w:rsid w:val="00642D45"/>
    <w:rsid w:val="006544DD"/>
    <w:rsid w:val="006958B6"/>
    <w:rsid w:val="006B47E5"/>
    <w:rsid w:val="006B4DEA"/>
    <w:rsid w:val="006C13AF"/>
    <w:rsid w:val="006C2269"/>
    <w:rsid w:val="006E33F9"/>
    <w:rsid w:val="0070389A"/>
    <w:rsid w:val="00710A4D"/>
    <w:rsid w:val="00711EE5"/>
    <w:rsid w:val="00712359"/>
    <w:rsid w:val="0071297B"/>
    <w:rsid w:val="00714258"/>
    <w:rsid w:val="00722E82"/>
    <w:rsid w:val="00726FB9"/>
    <w:rsid w:val="007406D0"/>
    <w:rsid w:val="00747926"/>
    <w:rsid w:val="00750D3B"/>
    <w:rsid w:val="007550E8"/>
    <w:rsid w:val="007572A7"/>
    <w:rsid w:val="0077476C"/>
    <w:rsid w:val="00782393"/>
    <w:rsid w:val="00796F79"/>
    <w:rsid w:val="007E5E09"/>
    <w:rsid w:val="007F19D1"/>
    <w:rsid w:val="00813EFA"/>
    <w:rsid w:val="00840B77"/>
    <w:rsid w:val="008426B8"/>
    <w:rsid w:val="00847DC3"/>
    <w:rsid w:val="00876074"/>
    <w:rsid w:val="00882E6D"/>
    <w:rsid w:val="00883ABB"/>
    <w:rsid w:val="0088533C"/>
    <w:rsid w:val="008A7EE1"/>
    <w:rsid w:val="008B437B"/>
    <w:rsid w:val="008E6EDF"/>
    <w:rsid w:val="00923D55"/>
    <w:rsid w:val="009245D7"/>
    <w:rsid w:val="009300E0"/>
    <w:rsid w:val="00930B28"/>
    <w:rsid w:val="009374B8"/>
    <w:rsid w:val="00941FFB"/>
    <w:rsid w:val="00942775"/>
    <w:rsid w:val="00943E23"/>
    <w:rsid w:val="009441F0"/>
    <w:rsid w:val="00961285"/>
    <w:rsid w:val="009620CE"/>
    <w:rsid w:val="00964A37"/>
    <w:rsid w:val="00995AA6"/>
    <w:rsid w:val="009B7EDD"/>
    <w:rsid w:val="009C3CC8"/>
    <w:rsid w:val="009D710E"/>
    <w:rsid w:val="009E0B84"/>
    <w:rsid w:val="009E1DCC"/>
    <w:rsid w:val="009E498E"/>
    <w:rsid w:val="009E50E3"/>
    <w:rsid w:val="009F0953"/>
    <w:rsid w:val="00A24AA3"/>
    <w:rsid w:val="00A374A3"/>
    <w:rsid w:val="00A379DB"/>
    <w:rsid w:val="00A672EB"/>
    <w:rsid w:val="00A7132C"/>
    <w:rsid w:val="00A73C5D"/>
    <w:rsid w:val="00A85FD8"/>
    <w:rsid w:val="00A87568"/>
    <w:rsid w:val="00AB0143"/>
    <w:rsid w:val="00AB656D"/>
    <w:rsid w:val="00AD2200"/>
    <w:rsid w:val="00AD3481"/>
    <w:rsid w:val="00AE375A"/>
    <w:rsid w:val="00AE52B2"/>
    <w:rsid w:val="00B05817"/>
    <w:rsid w:val="00B41022"/>
    <w:rsid w:val="00B45178"/>
    <w:rsid w:val="00B93629"/>
    <w:rsid w:val="00B9451B"/>
    <w:rsid w:val="00BA004D"/>
    <w:rsid w:val="00BA4B34"/>
    <w:rsid w:val="00BA60F0"/>
    <w:rsid w:val="00BB3CCB"/>
    <w:rsid w:val="00BB3EE2"/>
    <w:rsid w:val="00BC55FF"/>
    <w:rsid w:val="00BE76DC"/>
    <w:rsid w:val="00C04298"/>
    <w:rsid w:val="00C05A89"/>
    <w:rsid w:val="00C24B14"/>
    <w:rsid w:val="00C40D29"/>
    <w:rsid w:val="00C547F6"/>
    <w:rsid w:val="00C56BD0"/>
    <w:rsid w:val="00C82248"/>
    <w:rsid w:val="00C9189B"/>
    <w:rsid w:val="00CA0F46"/>
    <w:rsid w:val="00CA238D"/>
    <w:rsid w:val="00CE3CE5"/>
    <w:rsid w:val="00CF0981"/>
    <w:rsid w:val="00CF1EE7"/>
    <w:rsid w:val="00CF5ADA"/>
    <w:rsid w:val="00D117FF"/>
    <w:rsid w:val="00D21CBD"/>
    <w:rsid w:val="00D25834"/>
    <w:rsid w:val="00D30827"/>
    <w:rsid w:val="00D30B25"/>
    <w:rsid w:val="00D311B3"/>
    <w:rsid w:val="00D538C4"/>
    <w:rsid w:val="00D54416"/>
    <w:rsid w:val="00D60F84"/>
    <w:rsid w:val="00D76774"/>
    <w:rsid w:val="00D8768B"/>
    <w:rsid w:val="00DB2EC0"/>
    <w:rsid w:val="00DB3690"/>
    <w:rsid w:val="00DB3EEA"/>
    <w:rsid w:val="00E0383E"/>
    <w:rsid w:val="00E22031"/>
    <w:rsid w:val="00E409B3"/>
    <w:rsid w:val="00E42E41"/>
    <w:rsid w:val="00E45130"/>
    <w:rsid w:val="00E52B61"/>
    <w:rsid w:val="00E63EE2"/>
    <w:rsid w:val="00E717B6"/>
    <w:rsid w:val="00E85332"/>
    <w:rsid w:val="00EA2510"/>
    <w:rsid w:val="00ED3856"/>
    <w:rsid w:val="00EE50D1"/>
    <w:rsid w:val="00EE6D53"/>
    <w:rsid w:val="00EF4A6F"/>
    <w:rsid w:val="00F11EFB"/>
    <w:rsid w:val="00F136EC"/>
    <w:rsid w:val="00F51340"/>
    <w:rsid w:val="00F52204"/>
    <w:rsid w:val="00F62014"/>
    <w:rsid w:val="00F6201C"/>
    <w:rsid w:val="00F97F31"/>
    <w:rsid w:val="00FB3A40"/>
    <w:rsid w:val="00FC227D"/>
    <w:rsid w:val="00FC2336"/>
    <w:rsid w:val="00FC5AD1"/>
    <w:rsid w:val="00FC6FA4"/>
    <w:rsid w:val="00FD1F53"/>
    <w:rsid w:val="00FD2D9D"/>
    <w:rsid w:val="00FE09FE"/>
    <w:rsid w:val="00FE40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A59A"/>
  <w15:docId w15:val="{97667DEF-E154-4241-B531-4C1FC25E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pPr>
      <w:ind w:left="124"/>
      <w:outlineLvl w:val="0"/>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1"/>
    <w:qFormat/>
    <w:pPr>
      <w:ind w:left="350" w:hanging="2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20CE"/>
    <w:pPr>
      <w:tabs>
        <w:tab w:val="center" w:pos="4513"/>
        <w:tab w:val="right" w:pos="9026"/>
      </w:tabs>
    </w:pPr>
  </w:style>
  <w:style w:type="character" w:customStyle="1" w:styleId="HeaderChar">
    <w:name w:val="Header Char"/>
    <w:basedOn w:val="DefaultParagraphFont"/>
    <w:link w:val="Header"/>
    <w:uiPriority w:val="99"/>
    <w:rsid w:val="009620CE"/>
    <w:rPr>
      <w:rFonts w:ascii="Arial" w:eastAsia="Arial" w:hAnsi="Arial" w:cs="Arial"/>
      <w:lang w:val="en-GB"/>
    </w:rPr>
  </w:style>
  <w:style w:type="paragraph" w:styleId="Footer">
    <w:name w:val="footer"/>
    <w:basedOn w:val="Normal"/>
    <w:link w:val="FooterChar"/>
    <w:uiPriority w:val="99"/>
    <w:unhideWhenUsed/>
    <w:rsid w:val="009620CE"/>
    <w:pPr>
      <w:tabs>
        <w:tab w:val="center" w:pos="4513"/>
        <w:tab w:val="right" w:pos="9026"/>
      </w:tabs>
    </w:pPr>
  </w:style>
  <w:style w:type="character" w:customStyle="1" w:styleId="FooterChar">
    <w:name w:val="Footer Char"/>
    <w:basedOn w:val="DefaultParagraphFont"/>
    <w:link w:val="Footer"/>
    <w:uiPriority w:val="99"/>
    <w:rsid w:val="009620CE"/>
    <w:rPr>
      <w:rFonts w:ascii="Arial" w:eastAsia="Arial" w:hAnsi="Arial" w:cs="Arial"/>
      <w:lang w:val="en-GB"/>
    </w:rPr>
  </w:style>
  <w:style w:type="character" w:styleId="CommentReference">
    <w:name w:val="annotation reference"/>
    <w:basedOn w:val="DefaultParagraphFont"/>
    <w:uiPriority w:val="99"/>
    <w:semiHidden/>
    <w:unhideWhenUsed/>
    <w:rsid w:val="00A374A3"/>
    <w:rPr>
      <w:sz w:val="16"/>
      <w:szCs w:val="16"/>
    </w:rPr>
  </w:style>
  <w:style w:type="paragraph" w:styleId="CommentText">
    <w:name w:val="annotation text"/>
    <w:basedOn w:val="Normal"/>
    <w:link w:val="CommentTextChar"/>
    <w:uiPriority w:val="99"/>
    <w:unhideWhenUsed/>
    <w:rsid w:val="00A374A3"/>
    <w:rPr>
      <w:sz w:val="20"/>
      <w:szCs w:val="20"/>
    </w:rPr>
  </w:style>
  <w:style w:type="character" w:customStyle="1" w:styleId="CommentTextChar">
    <w:name w:val="Comment Text Char"/>
    <w:basedOn w:val="DefaultParagraphFont"/>
    <w:link w:val="CommentText"/>
    <w:uiPriority w:val="99"/>
    <w:rsid w:val="00A374A3"/>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374A3"/>
    <w:rPr>
      <w:b/>
      <w:bCs/>
    </w:rPr>
  </w:style>
  <w:style w:type="character" w:customStyle="1" w:styleId="CommentSubjectChar">
    <w:name w:val="Comment Subject Char"/>
    <w:basedOn w:val="CommentTextChar"/>
    <w:link w:val="CommentSubject"/>
    <w:uiPriority w:val="99"/>
    <w:semiHidden/>
    <w:rsid w:val="00A374A3"/>
    <w:rPr>
      <w:rFonts w:ascii="Arial" w:eastAsia="Arial" w:hAnsi="Arial" w:cs="Arial"/>
      <w:b/>
      <w:bCs/>
      <w:sz w:val="20"/>
      <w:szCs w:val="20"/>
      <w:lang w:val="en-GB"/>
    </w:rPr>
  </w:style>
  <w:style w:type="character" w:customStyle="1" w:styleId="BodyTextChar">
    <w:name w:val="Body Text Char"/>
    <w:basedOn w:val="DefaultParagraphFont"/>
    <w:link w:val="BodyText"/>
    <w:uiPriority w:val="1"/>
    <w:rsid w:val="00882E6D"/>
    <w:rPr>
      <w:rFonts w:ascii="Arial" w:eastAsia="Arial" w:hAnsi="Arial" w:cs="Arial"/>
      <w:sz w:val="15"/>
      <w:szCs w:val="15"/>
      <w:lang w:val="en-GB"/>
    </w:rPr>
  </w:style>
  <w:style w:type="character" w:customStyle="1" w:styleId="Heading1Char">
    <w:name w:val="Heading 1 Char"/>
    <w:basedOn w:val="DefaultParagraphFont"/>
    <w:link w:val="Heading1"/>
    <w:uiPriority w:val="9"/>
    <w:rsid w:val="00FC6FA4"/>
    <w:rPr>
      <w:rFonts w:ascii="Arial" w:eastAsia="Arial" w:hAnsi="Arial" w:cs="Arial"/>
      <w:b/>
      <w:bCs/>
      <w:sz w:val="15"/>
      <w:szCs w:val="15"/>
      <w:lang w:val="en-GB"/>
    </w:rPr>
  </w:style>
  <w:style w:type="table" w:styleId="TableGrid">
    <w:name w:val="Table Grid"/>
    <w:basedOn w:val="TableNormal"/>
    <w:uiPriority w:val="39"/>
    <w:rsid w:val="004A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3D0"/>
    <w:pPr>
      <w:widowControl/>
      <w:autoSpaceDE/>
      <w:autoSpaceDN/>
    </w:pPr>
    <w:rPr>
      <w:rFonts w:ascii="Arial" w:eastAsia="Arial" w:hAnsi="Arial" w:cs="Arial"/>
      <w:lang w:val="en-GB"/>
    </w:rPr>
  </w:style>
  <w:style w:type="character" w:styleId="Hyperlink">
    <w:name w:val="Hyperlink"/>
    <w:basedOn w:val="DefaultParagraphFont"/>
    <w:uiPriority w:val="99"/>
    <w:unhideWhenUsed/>
    <w:rsid w:val="00FC2336"/>
    <w:rPr>
      <w:color w:val="0000FF" w:themeColor="hyperlink"/>
      <w:u w:val="single"/>
    </w:rPr>
  </w:style>
  <w:style w:type="character" w:styleId="UnresolvedMention">
    <w:name w:val="Unresolved Mention"/>
    <w:basedOn w:val="DefaultParagraphFont"/>
    <w:uiPriority w:val="99"/>
    <w:semiHidden/>
    <w:unhideWhenUsed/>
    <w:rsid w:val="00FC2336"/>
    <w:rPr>
      <w:color w:val="605E5C"/>
      <w:shd w:val="clear" w:color="auto" w:fill="E1DFDD"/>
    </w:rPr>
  </w:style>
  <w:style w:type="paragraph" w:customStyle="1" w:styleId="2ColumnBody">
    <w:name w:val="2 Column Body"/>
    <w:basedOn w:val="Normal"/>
    <w:link w:val="2ColumnBodyChar"/>
    <w:rsid w:val="00092B20"/>
    <w:pPr>
      <w:widowControl/>
      <w:autoSpaceDE/>
      <w:autoSpaceDN/>
      <w:spacing w:after="120" w:line="264" w:lineRule="auto"/>
    </w:pPr>
    <w:rPr>
      <w:rFonts w:eastAsia="MS Mincho" w:cs="Times New Roman"/>
      <w:sz w:val="20"/>
      <w:szCs w:val="20"/>
    </w:rPr>
  </w:style>
  <w:style w:type="character" w:customStyle="1" w:styleId="2ColumnBodyChar">
    <w:name w:val="2 Column Body Char"/>
    <w:basedOn w:val="DefaultParagraphFont"/>
    <w:link w:val="2ColumnBody"/>
    <w:rsid w:val="00092B20"/>
    <w:rPr>
      <w:rFonts w:ascii="Arial" w:eastAsia="MS Mincho" w:hAnsi="Arial" w:cs="Times New Roman"/>
      <w:sz w:val="20"/>
      <w:szCs w:val="20"/>
      <w:lang w:val="en-GB"/>
    </w:rPr>
  </w:style>
  <w:style w:type="character" w:customStyle="1" w:styleId="grey">
    <w:name w:val="grey"/>
    <w:basedOn w:val="DefaultParagraphFont"/>
    <w:rsid w:val="00092B20"/>
  </w:style>
  <w:style w:type="paragraph" w:customStyle="1" w:styleId="BP-Body">
    <w:name w:val="BP-Body"/>
    <w:rsid w:val="00092B20"/>
    <w:pPr>
      <w:widowControl/>
      <w:tabs>
        <w:tab w:val="center" w:pos="2286"/>
        <w:tab w:val="center" w:pos="4572"/>
        <w:tab w:val="center" w:pos="6869"/>
        <w:tab w:val="right" w:pos="9144"/>
      </w:tabs>
      <w:autoSpaceDE/>
      <w:autoSpaceDN/>
    </w:pPr>
    <w:rPr>
      <w:rFonts w:ascii="Arial" w:eastAsia="MS Mincho" w:hAnsi="Arial" w:cs="Times New Roman"/>
      <w:color w:val="000000"/>
      <w:sz w:val="20"/>
      <w:szCs w:val="20"/>
    </w:rPr>
  </w:style>
  <w:style w:type="character" w:styleId="FollowedHyperlink">
    <w:name w:val="FollowedHyperlink"/>
    <w:basedOn w:val="DefaultParagraphFont"/>
    <w:uiPriority w:val="99"/>
    <w:semiHidden/>
    <w:unhideWhenUsed/>
    <w:rsid w:val="00092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8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dg.com/dam/pru/shared/documents/en/lavb10007.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a.org.uk/firms/financial-services-regis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eyhelper.org.uk/en/getting-help-and-advice/financial-advisers/choosing-a-financial-advis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dg.com/pru/workplace-pensions/employees/public-sector-avc-schemes/local-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5C8B876444DE88DDE01F5C8553F0A"/>
        <w:category>
          <w:name w:val="General"/>
          <w:gallery w:val="placeholder"/>
        </w:category>
        <w:types>
          <w:type w:val="bbPlcHdr"/>
        </w:types>
        <w:behaviors>
          <w:behavior w:val="content"/>
        </w:behaviors>
        <w:guid w:val="{05FBF1A5-4197-4A4A-B81E-FA75D49F4F75}"/>
      </w:docPartPr>
      <w:docPartBody>
        <w:p w:rsidR="00CE5CC8" w:rsidRDefault="00250A05" w:rsidP="00250A05">
          <w:pPr>
            <w:pStyle w:val="0725C8B876444DE88DDE01F5C8553F0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05"/>
    <w:rsid w:val="00075141"/>
    <w:rsid w:val="00250A05"/>
    <w:rsid w:val="00CE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25C8B876444DE88DDE01F5C8553F0A">
    <w:name w:val="0725C8B876444DE88DDE01F5C8553F0A"/>
    <w:rsid w:val="00250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itus xmlns="http://schemas.titus.com/TitusProperties/">
  <TitusGUID xmlns="">25c130ae-6eb1-40fc-b04d-0144fd04cad1</TitusGUID>
  <TitusMetadata xmlns="">eyJucyI6Imh0dHA6XC9cL3d3dy50aXR1cy5jb21cL25zXC9BT04iLCJwcm9wcyI6W3sibiI6IkFvbkNsYXNzaWZpY2F0aW9uIiwidmFscyI6W3sidmFsdWUiOiJBRENfY2xhc3NfMjAwIn1dfSx7Im4iOiJBb25SZXN0cmljdGVkIiwidmFscyI6W119LHsibiI6IkFvblZpc3VhbE1hcmtpbmdzIiwidmFscyI6W119XX0=</TitusMetadata>
</titu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DBAAE-743D-4CFD-9B46-604B954B3FB7}">
  <ds:schemaRefs>
    <ds:schemaRef ds:uri="http://schemas.titus.com/TitusProperties/"/>
    <ds:schemaRef ds:uri=""/>
  </ds:schemaRefs>
</ds:datastoreItem>
</file>

<file path=customXml/itemProps2.xml><?xml version="1.0" encoding="utf-8"?>
<ds:datastoreItem xmlns:ds="http://schemas.openxmlformats.org/officeDocument/2006/customXml" ds:itemID="{3C0F24B8-FFE5-4CA8-A10F-F4DEC2C38432}">
  <ds:schemaRefs>
    <ds:schemaRef ds:uri="http://schemas.microsoft.com/office/2006/metadata/properties"/>
    <ds:schemaRef ds:uri="http://schemas.microsoft.com/office/infopath/2007/PartnerControls"/>
    <ds:schemaRef ds:uri="2cfff597-66e8-4e84-ac1e-906c0d7a3e59"/>
    <ds:schemaRef ds:uri="a087b728-3eb3-4aa2-8b64-c63683db8084"/>
    <ds:schemaRef ds:uri="903da782-ff01-4eb6-bfb8-7fab1db7d2c8"/>
    <ds:schemaRef ds:uri="5f08f1fb-8c34-44d6-a8d5-778f680b1754"/>
  </ds:schemaRefs>
</ds:datastoreItem>
</file>

<file path=customXml/itemProps3.xml><?xml version="1.0" encoding="utf-8"?>
<ds:datastoreItem xmlns:ds="http://schemas.openxmlformats.org/officeDocument/2006/customXml" ds:itemID="{B285364D-F49C-4D76-8AD5-B573F127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21CFA-25B6-4220-A337-A5F5E6205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Betts</dc:creator>
  <cp:keywords/>
  <cp:lastModifiedBy>Madalina Bratec</cp:lastModifiedBy>
  <cp:revision>3</cp:revision>
  <cp:lastPrinted>2022-11-01T10:11:00Z</cp:lastPrinted>
  <dcterms:created xsi:type="dcterms:W3CDTF">2024-02-20T10:20:00Z</dcterms:created>
  <dcterms:modified xsi:type="dcterms:W3CDTF">2024-02-29T11:47:00Z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for Microsoft 365</vt:lpwstr>
  </property>
  <property fmtid="{D5CDD505-2E9C-101B-9397-08002B2CF9AE}" pid="4" name="LastSaved">
    <vt:filetime>2022-10-17T00:00:00Z</vt:filetime>
  </property>
  <property fmtid="{D5CDD505-2E9C-101B-9397-08002B2CF9AE}" pid="5" name="ContentTypeId">
    <vt:lpwstr>0x01010006BF8BD689F87643A05EA967DD0A9B6B</vt:lpwstr>
  </property>
  <property fmtid="{D5CDD505-2E9C-101B-9397-08002B2CF9AE}" pid="6" name="MediaServiceImageTags">
    <vt:lpwstr/>
  </property>
  <property fmtid="{D5CDD505-2E9C-101B-9397-08002B2CF9AE}" pid="7" name="TitusGUID">
    <vt:lpwstr>25c130ae-6eb1-40fc-b04d-0144fd04cad1</vt:lpwstr>
  </property>
  <property fmtid="{D5CDD505-2E9C-101B-9397-08002B2CF9AE}" pid="8" name="AonClassification">
    <vt:lpwstr>ADC_class_200</vt:lpwstr>
  </property>
  <property fmtid="{D5CDD505-2E9C-101B-9397-08002B2CF9AE}" pid="9" name="MSIP_Label_9043f10a-881e-4653-a55e-02ca2cc829dc_Enabled">
    <vt:lpwstr>true</vt:lpwstr>
  </property>
  <property fmtid="{D5CDD505-2E9C-101B-9397-08002B2CF9AE}" pid="10" name="MSIP_Label_9043f10a-881e-4653-a55e-02ca2cc829dc_SetDate">
    <vt:lpwstr>2023-12-12T08:47:39Z</vt:lpwstr>
  </property>
  <property fmtid="{D5CDD505-2E9C-101B-9397-08002B2CF9AE}" pid="11" name="MSIP_Label_9043f10a-881e-4653-a55e-02ca2cc829dc_Method">
    <vt:lpwstr>Standard</vt:lpwstr>
  </property>
  <property fmtid="{D5CDD505-2E9C-101B-9397-08002B2CF9AE}" pid="12" name="MSIP_Label_9043f10a-881e-4653-a55e-02ca2cc829dc_Name">
    <vt:lpwstr>ADC_class_200</vt:lpwstr>
  </property>
  <property fmtid="{D5CDD505-2E9C-101B-9397-08002B2CF9AE}" pid="13" name="MSIP_Label_9043f10a-881e-4653-a55e-02ca2cc829dc_SiteId">
    <vt:lpwstr>94cfddbc-0627-494a-ad7a-29aea3aea832</vt:lpwstr>
  </property>
  <property fmtid="{D5CDD505-2E9C-101B-9397-08002B2CF9AE}" pid="14" name="MSIP_Label_9043f10a-881e-4653-a55e-02ca2cc829dc_ActionId">
    <vt:lpwstr>2ddcbadb-07c7-4608-92e5-3d1534370676</vt:lpwstr>
  </property>
  <property fmtid="{D5CDD505-2E9C-101B-9397-08002B2CF9AE}" pid="15" name="MSIP_Label_9043f10a-881e-4653-a55e-02ca2cc829dc_ContentBits">
    <vt:lpwstr>0</vt:lpwstr>
  </property>
</Properties>
</file>